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河南省博越医疗器械有限公司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eastAsia="宋体"/>
          <w:lang w:val="en-US" w:eastAsia="zh-CN"/>
        </w:rPr>
      </w:pPr>
      <w:r>
        <w:rPr>
          <w:rFonts w:hint="eastAsia" w:ascii="Times New Roman" w:hAnsi="Times New Roman" w:eastAsia="宋体" w:cs="Times New Roman"/>
          <w:b/>
          <w:bCs/>
          <w:color w:val="auto"/>
          <w:kern w:val="2"/>
          <w:sz w:val="36"/>
          <w:szCs w:val="36"/>
          <w:lang w:val="en-US" w:eastAsia="zh-CN"/>
        </w:rPr>
        <w:t>年产9.5万件Ⅰ、Ⅱ类卫生材料项目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default" w:ascii="Times New Roman" w:hAnsi="Times New Roman" w:eastAsia="宋体" w:cs="Times New Roman"/>
          <w:b/>
          <w:bCs/>
          <w:color w:val="auto"/>
          <w:kern w:val="2"/>
          <w:sz w:val="36"/>
          <w:szCs w:val="36"/>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rPr>
          <w:rFonts w:hint="default"/>
        </w:rPr>
      </w:pPr>
    </w:p>
    <w:p>
      <w:pPr>
        <w:jc w:val="center"/>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建设单位：河南省博越医疗器械有限公司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编制单位：河南省博越医疗器械有限公司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22</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ascii="Times New Roman" w:hAnsi="Times New Roman" w:cs="Times New Roman" w:eastAsiaTheme="minorEastAsia"/>
          <w:b w:val="0"/>
          <w:bCs w:val="0"/>
          <w:color w:val="auto"/>
          <w:kern w:val="2"/>
          <w:sz w:val="28"/>
          <w:szCs w:val="28"/>
          <w:u w:val="none"/>
          <w:lang w:val="en-US" w:eastAsia="zh-CN"/>
        </w:rPr>
        <w:t>7</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w:t>
      </w:r>
      <w:r>
        <w:rPr>
          <w:rFonts w:hint="default" w:ascii="Times New Roman" w:hAnsi="Times New Roman" w:cs="Times New Roman" w:eastAsiaTheme="minorEastAsia"/>
          <w:b w:val="0"/>
          <w:bCs w:val="0"/>
          <w:color w:val="auto"/>
          <w:kern w:val="2"/>
          <w:sz w:val="28"/>
          <w:szCs w:val="28"/>
          <w:u w:val="none"/>
          <w:lang w:val="en-US" w:eastAsia="zh-CN"/>
        </w:rPr>
        <w:t>河南省博越医疗器械有限公司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法人代表：刘香付</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w:t>
      </w:r>
      <w:r>
        <w:rPr>
          <w:rFonts w:hint="eastAsia" w:ascii="Times New Roman" w:hAnsi="Times New Roman" w:cs="Times New Roman" w:eastAsiaTheme="minorEastAsia"/>
          <w:sz w:val="28"/>
          <w:szCs w:val="28"/>
          <w:lang w:val="en-US" w:eastAsia="zh-CN"/>
        </w:rPr>
        <w:t>15903044777</w:t>
      </w:r>
    </w:p>
    <w:p>
      <w:pPr>
        <w:keepNext w:val="0"/>
        <w:keepLines w:val="0"/>
        <w:pageBreakBefore w:val="0"/>
        <w:widowControl/>
        <w:kinsoku/>
        <w:wordWrap/>
        <w:overflowPunct/>
        <w:topLinePunct w:val="0"/>
        <w:autoSpaceDE/>
        <w:autoSpaceDN/>
        <w:bidi w:val="0"/>
        <w:adjustRightInd w:val="0"/>
        <w:snapToGrid w:val="0"/>
        <w:spacing w:line="520" w:lineRule="exact"/>
        <w:ind w:left="1400" w:hanging="1400" w:hangingChars="500"/>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地    址：长垣市张三寨镇医疗器械创业园</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监测单位：河南</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鼎晟</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instrText xml:space="preserve"> HYPERLINK "https://www.tianyancha.com/human/2225563825-c3411703773" \o "郭晓静" \t "https://www.tianyancha.com/company/_blank" </w:instrTex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郭晓静</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eastAsia" w:ascii="Times New Roman" w:hAnsi="Times New Roman" w:cs="Times New Roman" w:eastAsiaTheme="minorEastAsia"/>
          <w:b w:val="0"/>
          <w:bCs w:val="0"/>
          <w:color w:val="auto"/>
          <w:kern w:val="2"/>
          <w:sz w:val="28"/>
          <w:szCs w:val="28"/>
          <w:lang w:val="en-US" w:eastAsia="zh-CN"/>
        </w:rPr>
        <w:t>18037982811</w:t>
      </w:r>
    </w:p>
    <w:p>
      <w:pPr>
        <w:rPr>
          <w:rFonts w:hint="default" w:ascii="Times New Roman" w:hAnsi="Times New Roman" w:cs="Times New Roman" w:eastAsiaTheme="minorEastAsia"/>
          <w:sz w:val="28"/>
          <w:szCs w:val="28"/>
          <w:lang w:val="en-US" w:eastAsia="zh-CN"/>
        </w:rPr>
      </w:pPr>
    </w:p>
    <w:p>
      <w:pPr>
        <w:pStyle w:val="6"/>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w:t>
      </w:r>
      <w:r>
        <w:rPr>
          <w:rFonts w:hint="default" w:ascii="Times New Roman" w:hAnsi="Times New Roman" w:cs="Times New Roman" w:eastAsiaTheme="minorEastAsia"/>
          <w:b w:val="0"/>
          <w:bCs w:val="0"/>
          <w:color w:val="auto"/>
          <w:kern w:val="2"/>
          <w:sz w:val="28"/>
          <w:szCs w:val="28"/>
          <w:u w:val="none"/>
          <w:lang w:val="en-US" w:eastAsia="zh-CN"/>
        </w:rPr>
        <w:t>河南省博越医疗器械有限公司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法人代表：刘香付</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default" w:ascii="Times New Roman" w:hAnsi="Times New Roman" w:cs="Times New Roman" w:eastAsiaTheme="minorEastAsia"/>
          <w:b w:val="0"/>
          <w:bCs w:val="0"/>
          <w:color w:val="auto"/>
          <w:kern w:val="2"/>
          <w:sz w:val="28"/>
          <w:szCs w:val="28"/>
          <w:lang w:val="en-US" w:eastAsia="zh-CN"/>
        </w:rPr>
        <w:t>刘香付</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eastAsia" w:ascii="Times New Roman" w:hAnsi="Times New Roman" w:cs="Times New Roman" w:eastAsiaTheme="minorEastAsia"/>
          <w:sz w:val="28"/>
          <w:szCs w:val="28"/>
          <w:lang w:val="en-US" w:eastAsia="zh-CN"/>
        </w:rPr>
        <w:t>15903044777</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footerReference r:id="rId3"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cs="Times New Roman" w:eastAsiaTheme="minorEastAsia"/>
          <w:b w:val="0"/>
          <w:bCs w:val="0"/>
          <w:color w:val="auto"/>
          <w:kern w:val="2"/>
          <w:sz w:val="28"/>
          <w:szCs w:val="28"/>
          <w:lang w:val="en-US" w:eastAsia="zh-CN"/>
        </w:rPr>
        <w:t>地    址：长垣市张三寨镇医疗器械创业园</w:t>
      </w:r>
    </w:p>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4"/>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1715"/>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年产9.5万件Ⅰ、Ⅱ类卫生材料项目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河南省博越医疗器械有限公司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default" w:ascii="Arial" w:hAnsi="Arial" w:cs="Arial"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长垣市张三寨镇医疗器械创业园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卫生材料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022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2022年7月7-8日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长垣县环境保护局（长环审（</w:t>
            </w:r>
            <w:r>
              <w:rPr>
                <w:rFonts w:hint="eastAsia" w:ascii="Times New Roman" w:hAnsi="Times New Roman" w:cs="Times New Roman" w:eastAsiaTheme="minorEastAsia"/>
                <w:color w:val="auto"/>
                <w:sz w:val="24"/>
                <w:szCs w:val="24"/>
                <w:lang w:val="en-US" w:eastAsia="zh-CN"/>
              </w:rPr>
              <w:t>2021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116</w:t>
            </w:r>
            <w:r>
              <w:rPr>
                <w:rFonts w:hint="default" w:ascii="Times New Roman" w:hAnsi="Times New Roman" w:cs="Times New Roman" w:eastAsiaTheme="minorEastAsia"/>
                <w:color w:val="auto"/>
                <w:sz w:val="24"/>
                <w:szCs w:val="24"/>
                <w:lang w:val="en-US" w:eastAsia="zh-CN"/>
              </w:rPr>
              <w:t>号)</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河北峰青环保工程有限公司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12</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71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12</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9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85" w:hRule="atLeast"/>
          <w:jc w:val="center"/>
        </w:trPr>
        <w:tc>
          <w:tcPr>
            <w:tcW w:w="8946"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河南省博越医疗器械有限公司</w:t>
            </w:r>
            <w:r>
              <w:rPr>
                <w:rFonts w:hint="eastAsia" w:ascii="Times New Roman" w:hAnsi="Times New Roman" w:eastAsia="宋体" w:cs="Times New Roman"/>
                <w:i w:val="0"/>
                <w:iCs w:val="0"/>
                <w:sz w:val="24"/>
                <w:lang w:eastAsia="zh-CN"/>
              </w:rPr>
              <w:t>位于</w:t>
            </w:r>
            <w:r>
              <w:rPr>
                <w:rFonts w:hint="eastAsia" w:ascii="Times New Roman" w:hAnsi="Times New Roman" w:eastAsia="宋体" w:cs="Times New Roman"/>
                <w:sz w:val="24"/>
                <w:szCs w:val="24"/>
                <w:lang w:val="en-US" w:eastAsia="zh-CN"/>
              </w:rPr>
              <w:t>长垣市张三寨镇医疗器械创业园</w:t>
            </w:r>
            <w:r>
              <w:rPr>
                <w:rFonts w:hint="eastAsia" w:ascii="Times New Roman" w:hAnsi="Times New Roman" w:eastAsia="宋体" w:cs="Times New Roman"/>
                <w:i w:val="0"/>
                <w:iCs w:val="0"/>
                <w:sz w:val="24"/>
                <w:lang w:eastAsia="zh-CN"/>
              </w:rPr>
              <w:t>，</w:t>
            </w:r>
            <w:r>
              <w:rPr>
                <w:rFonts w:hint="eastAsia" w:ascii="Times New Roman" w:hAnsi="Times New Roman" w:eastAsia="宋体" w:cs="Times New Roman"/>
                <w:i w:val="0"/>
                <w:iCs w:val="0"/>
                <w:sz w:val="24"/>
                <w:lang w:val="en-US" w:eastAsia="zh-CN"/>
              </w:rPr>
              <w:t>2021年，建设“</w:t>
            </w:r>
            <w:r>
              <w:rPr>
                <w:rFonts w:hint="default" w:ascii="Times New Roman" w:hAnsi="Times New Roman" w:cs="Times New Roman" w:eastAsiaTheme="minorEastAsia"/>
                <w:color w:val="auto"/>
                <w:sz w:val="24"/>
                <w:szCs w:val="24"/>
                <w:lang w:val="en-US" w:eastAsia="zh-CN"/>
              </w:rPr>
              <w:t>年产9.5万件Ⅰ、Ⅱ类卫生材料项目</w:t>
            </w:r>
            <w:r>
              <w:rPr>
                <w:rFonts w:hint="eastAsia" w:ascii="Times New Roman" w:hAnsi="Times New Roman" w:eastAsia="宋体" w:cs="Times New Roman"/>
                <w:i w:val="0"/>
                <w:iCs w:val="0"/>
                <w:sz w:val="24"/>
                <w:lang w:val="en-US" w:eastAsia="zh-CN"/>
              </w:rPr>
              <w:t>”，目前本项目已建设完成</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河北峰青环保工程有限公司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2021年9月7日</w:t>
            </w:r>
            <w:r>
              <w:rPr>
                <w:rFonts w:hint="default" w:ascii="Times New Roman" w:hAnsi="Times New Roman" w:eastAsia="宋体" w:cs="Times New Roman"/>
                <w:color w:val="auto"/>
                <w:sz w:val="24"/>
                <w:szCs w:val="24"/>
                <w:lang w:val="en-US" w:eastAsia="zh-CN"/>
              </w:rPr>
              <w:t>，获得</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116</w:t>
            </w:r>
            <w:r>
              <w:rPr>
                <w:rFonts w:hint="default" w:ascii="Times New Roman" w:hAnsi="Times New Roman" w:eastAsia="宋体" w:cs="Times New Roman"/>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河南省博越医疗器械有限公司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15"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99"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（2）《中华人民共和国环境影响评价法》（2018.12.29）；</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（3）《中华人民共和国大气污染防治法》（2018.10.26）；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（4）《中华人民共和国水污染防治法》（2017.6.27）；</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（5）《中华人民共和国固体废物污染环境防治法》(2020.9.1)；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（6）《中华人民共和国环境噪声污染防治法》(2018.12.29)；</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（7）《国家危险废物名录》(2021版)；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（8）《一般工业固体废物贮存、处置场污染控制标准》GB18599-2001（2013年修订）；</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auto"/>
                <w:sz w:val="24"/>
                <w:szCs w:val="24"/>
                <w:lang w:val="en-US" w:eastAsia="zh-CN"/>
              </w:rPr>
              <w:t>河南省博越医疗器械有限公司年产9.5万件Ⅰ、Ⅱ类卫生材料项目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河北峰青环保工程有限公司</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2021</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cs="Times New Roman" w:eastAsiaTheme="minorEastAsia"/>
                <w:sz w:val="24"/>
                <w:szCs w:val="24"/>
                <w:lang w:val="en-US" w:eastAsia="zh-CN"/>
              </w:rPr>
              <w:t>关于《</w:t>
            </w:r>
            <w:r>
              <w:rPr>
                <w:rFonts w:hint="default" w:ascii="Times New Roman" w:hAnsi="Times New Roman" w:cs="Times New Roman" w:eastAsiaTheme="minorEastAsia"/>
                <w:color w:val="auto"/>
                <w:sz w:val="24"/>
                <w:szCs w:val="24"/>
                <w:lang w:val="en-US" w:eastAsia="zh-CN"/>
              </w:rPr>
              <w:t>河南省博越医疗器械有限公司年产9.5万件Ⅰ、Ⅱ类卫生材料项目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sz w:val="24"/>
                <w:szCs w:val="24"/>
                <w:lang w:val="en-US" w:eastAsia="zh-CN"/>
              </w:rPr>
              <w:t>》的批复（长环审（</w:t>
            </w:r>
            <w:r>
              <w:rPr>
                <w:rFonts w:hint="eastAsia" w:ascii="Times New Roman" w:hAnsi="Times New Roman" w:cs="Times New Roman" w:eastAsiaTheme="minorEastAsia"/>
                <w:sz w:val="24"/>
                <w:szCs w:val="24"/>
                <w:lang w:val="en-US" w:eastAsia="zh-CN"/>
              </w:rPr>
              <w:t>2021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116</w:t>
            </w:r>
            <w:r>
              <w:rPr>
                <w:rFonts w:hint="default" w:ascii="Times New Roman" w:hAnsi="Times New Roman" w:cs="Times New Roman" w:eastAsiaTheme="minorEastAsia"/>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96" w:hRule="atLeast"/>
          <w:jc w:val="center"/>
        </w:trPr>
        <w:tc>
          <w:tcPr>
            <w:tcW w:w="214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99" w:type="dxa"/>
            <w:gridSpan w:val="5"/>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6"/>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 噪声污染物排放标准</w:t>
            </w:r>
          </w:p>
          <w:tbl>
            <w:tblPr>
              <w:tblStyle w:val="24"/>
              <w:tblW w:w="6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pPr>
                    <w:pStyle w:val="2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pPr>
                    <w:pStyle w:val="29"/>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pPr>
                    <w:pStyle w:val="29"/>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pacing w:val="-9"/>
                      <w:sz w:val="21"/>
                      <w:szCs w:val="21"/>
                    </w:rPr>
                    <w:t>dB(A)</w:t>
                  </w:r>
                </w:p>
                <w:p>
                  <w:pPr>
                    <w:pStyle w:val="29"/>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dB(A)</w:t>
                  </w:r>
                </w:p>
              </w:tc>
            </w:tr>
            <w:bookmarkEnd w:id="0"/>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废气污染物排放执行标准</w:t>
            </w:r>
          </w:p>
          <w:tbl>
            <w:tblPr>
              <w:tblStyle w:val="24"/>
              <w:tblW w:w="6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434"/>
              <w:gridCol w:w="2743"/>
              <w:gridCol w:w="849"/>
              <w:gridCol w:w="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51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1434"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74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标准名称及级(类)别</w:t>
                  </w:r>
                </w:p>
              </w:tc>
              <w:tc>
                <w:tcPr>
                  <w:tcW w:w="849"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排放速率(kg/h)</w:t>
                  </w:r>
                </w:p>
              </w:tc>
              <w:tc>
                <w:tcPr>
                  <w:tcW w:w="98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jc w:val="center"/>
              </w:trPr>
              <w:tc>
                <w:tcPr>
                  <w:tcW w:w="51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1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74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p>
              </w:tc>
              <w:tc>
                <w:tcPr>
                  <w:tcW w:w="849"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984"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jc w:val="center"/>
              </w:trPr>
              <w:tc>
                <w:tcPr>
                  <w:tcW w:w="51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1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非甲烷总烃</w:t>
                  </w:r>
                </w:p>
              </w:tc>
              <w:tc>
                <w:tcPr>
                  <w:tcW w:w="274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49"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84"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一般固废执行《一般工业固体废物贮存、处置场污染控制标准》GB 18599-2001</w:t>
            </w:r>
            <w:r>
              <w:rPr>
                <w:rFonts w:hint="default" w:ascii="Times New Roman" w:hAnsi="Times New Roman" w:cs="Times New Roman" w:eastAsiaTheme="minorEastAsia"/>
                <w:sz w:val="24"/>
                <w:szCs w:val="24"/>
                <w:lang w:val="en-US" w:eastAsia="zh-CN"/>
              </w:rPr>
              <w:t>（2013年修订）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危险废物执行《危险废物贮存污染控制标准》GB18597- 2001</w:t>
            </w:r>
            <w:r>
              <w:rPr>
                <w:rFonts w:hint="default" w:ascii="Times New Roman" w:hAnsi="Times New Roman" w:cs="Times New Roman" w:eastAsiaTheme="minorEastAsia"/>
                <w:sz w:val="24"/>
                <w:szCs w:val="24"/>
                <w:lang w:val="en-US" w:eastAsia="zh-CN"/>
              </w:rPr>
              <w:t>（2013年修订）</w:t>
            </w:r>
            <w:r>
              <w:rPr>
                <w:rFonts w:hint="eastAsia"/>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4"/>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30"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本项目基本情况表</w:t>
            </w:r>
          </w:p>
          <w:tbl>
            <w:tblPr>
              <w:tblStyle w:val="24"/>
              <w:tblW w:w="85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296"/>
              <w:gridCol w:w="65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年产9.5万件Ⅰ、Ⅱ类卫生材料项目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长垣市张三寨镇医疗器械创业园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10763.59</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2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班制 一</w:t>
                  </w:r>
                  <w:r>
                    <w:rPr>
                      <w:rFonts w:hint="eastAsia" w:ascii="Times New Roman" w:hAnsi="Times New Roman" w:cs="Times New Roman" w:eastAsiaTheme="minorEastAsia"/>
                      <w:sz w:val="21"/>
                      <w:szCs w:val="21"/>
                      <w:lang w:val="en-US" w:eastAsia="zh-CN"/>
                    </w:rPr>
                    <w:t>班</w:t>
                  </w:r>
                  <w:r>
                    <w:rPr>
                      <w:rFonts w:hint="default" w:ascii="Times New Roman" w:hAnsi="Times New Roman" w:cs="Times New Roman" w:eastAsiaTheme="minorEastAsia"/>
                      <w:sz w:val="21"/>
                      <w:szCs w:val="21"/>
                      <w:lang w:val="en-US" w:eastAsia="zh-CN"/>
                    </w:rPr>
                    <w:t>8小时，年有效工作日</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4</w:t>
            </w:r>
            <w:r>
              <w:rPr>
                <w:rFonts w:hint="default" w:ascii="Times New Roman" w:hAnsi="Times New Roman" w:cs="Times New Roman" w:eastAsiaTheme="minorEastAsia"/>
                <w:b/>
                <w:bCs/>
                <w:color w:val="auto"/>
                <w:kern w:val="2"/>
                <w:sz w:val="21"/>
                <w:szCs w:val="21"/>
                <w:lang w:val="en-US" w:eastAsia="zh-CN" w:bidi="ar-SA"/>
              </w:rPr>
              <w:t xml:space="preserve"> 项目实际建设情况一览表</w:t>
            </w:r>
          </w:p>
          <w:tbl>
            <w:tblPr>
              <w:tblStyle w:val="24"/>
              <w:tblW w:w="871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8"/>
              <w:gridCol w:w="1422"/>
              <w:gridCol w:w="2578"/>
              <w:gridCol w:w="2543"/>
              <w:gridCol w:w="1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实际建设内容</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6" w:hRule="atLeast"/>
                <w:jc w:val="center"/>
              </w:trPr>
              <w:tc>
                <w:tcPr>
                  <w:tcW w:w="108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4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color w:val="000000"/>
                      <w:kern w:val="0"/>
                      <w:sz w:val="21"/>
                      <w:szCs w:val="21"/>
                      <w:lang w:val="en-US" w:eastAsia="zh-CN"/>
                    </w:rPr>
                    <w:t>1#厂房</w:t>
                  </w:r>
                </w:p>
              </w:tc>
              <w:tc>
                <w:tcPr>
                  <w:tcW w:w="257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5400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共四层，生产</w:t>
                  </w:r>
                  <w:r>
                    <w:rPr>
                      <w:rFonts w:hint="default" w:ascii="Times New Roman" w:hAnsi="Times New Roman" w:eastAsia="宋体" w:cs="Times New Roman"/>
                      <w:color w:val="000000"/>
                      <w:sz w:val="21"/>
                      <w:szCs w:val="21"/>
                      <w:lang w:val="en-US" w:eastAsia="zh-CN"/>
                    </w:rPr>
                    <w:t>Ⅰ、Ⅱ</w:t>
                  </w:r>
                  <w:r>
                    <w:rPr>
                      <w:rFonts w:hint="eastAsia" w:ascii="Times New Roman" w:hAnsi="Times New Roman" w:eastAsia="宋体" w:cs="Times New Roman"/>
                      <w:color w:val="000000"/>
                      <w:sz w:val="21"/>
                      <w:szCs w:val="21"/>
                      <w:lang w:val="en-US" w:eastAsia="zh-CN"/>
                    </w:rPr>
                    <w:t>类卫生材料</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5400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共四层，生产</w:t>
                  </w:r>
                  <w:r>
                    <w:rPr>
                      <w:rFonts w:hint="default" w:ascii="Times New Roman" w:hAnsi="Times New Roman" w:eastAsia="宋体" w:cs="Times New Roman"/>
                      <w:color w:val="000000"/>
                      <w:sz w:val="21"/>
                      <w:szCs w:val="21"/>
                      <w:lang w:val="en-US" w:eastAsia="zh-CN"/>
                    </w:rPr>
                    <w:t>Ⅰ、Ⅱ</w:t>
                  </w:r>
                  <w:r>
                    <w:rPr>
                      <w:rFonts w:hint="eastAsia" w:ascii="Times New Roman" w:hAnsi="Times New Roman" w:eastAsia="宋体" w:cs="Times New Roman"/>
                      <w:color w:val="000000"/>
                      <w:sz w:val="21"/>
                      <w:szCs w:val="21"/>
                      <w:lang w:val="en-US" w:eastAsia="zh-CN"/>
                    </w:rPr>
                    <w:t>类卫生材料</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6"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2#厂房</w:t>
                  </w:r>
                </w:p>
              </w:tc>
              <w:tc>
                <w:tcPr>
                  <w:tcW w:w="257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10800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共四层，生产</w:t>
                  </w:r>
                  <w:r>
                    <w:rPr>
                      <w:rFonts w:hint="default" w:ascii="Times New Roman" w:hAnsi="Times New Roman" w:eastAsia="宋体" w:cs="Times New Roman"/>
                      <w:color w:val="000000"/>
                      <w:sz w:val="21"/>
                      <w:szCs w:val="21"/>
                      <w:lang w:val="en-US" w:eastAsia="zh-CN"/>
                    </w:rPr>
                    <w:t>Ⅰ、Ⅱ</w:t>
                  </w:r>
                  <w:r>
                    <w:rPr>
                      <w:rFonts w:hint="eastAsia" w:ascii="Times New Roman" w:hAnsi="Times New Roman" w:eastAsia="宋体" w:cs="Times New Roman"/>
                      <w:color w:val="000000"/>
                      <w:sz w:val="21"/>
                      <w:szCs w:val="21"/>
                      <w:lang w:val="en-US" w:eastAsia="zh-CN"/>
                    </w:rPr>
                    <w:t>类卫生材料</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10800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共四层，生产</w:t>
                  </w:r>
                  <w:r>
                    <w:rPr>
                      <w:rFonts w:hint="default" w:ascii="Times New Roman" w:hAnsi="Times New Roman" w:eastAsia="宋体" w:cs="Times New Roman"/>
                      <w:color w:val="000000"/>
                      <w:sz w:val="21"/>
                      <w:szCs w:val="21"/>
                      <w:lang w:val="en-US" w:eastAsia="zh-CN"/>
                    </w:rPr>
                    <w:t>Ⅰ、Ⅱ</w:t>
                  </w:r>
                  <w:r>
                    <w:rPr>
                      <w:rFonts w:hint="eastAsia" w:ascii="Times New Roman" w:hAnsi="Times New Roman" w:eastAsia="宋体" w:cs="Times New Roman"/>
                      <w:color w:val="000000"/>
                      <w:sz w:val="21"/>
                      <w:szCs w:val="21"/>
                      <w:lang w:val="en-US" w:eastAsia="zh-CN"/>
                    </w:rPr>
                    <w:t>类卫生材料</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6"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3#厂房</w:t>
                  </w:r>
                </w:p>
              </w:tc>
              <w:tc>
                <w:tcPr>
                  <w:tcW w:w="257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建筑面积1275</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一层，生产</w:t>
                  </w:r>
                  <w:r>
                    <w:rPr>
                      <w:rFonts w:hint="default" w:ascii="Times New Roman" w:hAnsi="Times New Roman" w:eastAsia="宋体" w:cs="Times New Roman"/>
                      <w:color w:val="000000"/>
                      <w:sz w:val="21"/>
                      <w:szCs w:val="21"/>
                      <w:lang w:val="en-US" w:eastAsia="zh-CN"/>
                    </w:rPr>
                    <w:t>Ⅰ、Ⅱ</w:t>
                  </w:r>
                  <w:r>
                    <w:rPr>
                      <w:rFonts w:hint="eastAsia" w:ascii="Times New Roman" w:hAnsi="Times New Roman" w:eastAsia="宋体" w:cs="Times New Roman"/>
                      <w:color w:val="000000"/>
                      <w:sz w:val="21"/>
                      <w:szCs w:val="21"/>
                      <w:lang w:val="en-US" w:eastAsia="zh-CN"/>
                    </w:rPr>
                    <w:t>类卫生材料</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建筑面积1275</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一层，生产</w:t>
                  </w:r>
                  <w:r>
                    <w:rPr>
                      <w:rFonts w:hint="default" w:ascii="Times New Roman" w:hAnsi="Times New Roman" w:eastAsia="宋体" w:cs="Times New Roman"/>
                      <w:color w:val="000000"/>
                      <w:sz w:val="21"/>
                      <w:szCs w:val="21"/>
                      <w:lang w:val="en-US" w:eastAsia="zh-CN"/>
                    </w:rPr>
                    <w:t>Ⅰ、Ⅱ</w:t>
                  </w:r>
                  <w:r>
                    <w:rPr>
                      <w:rFonts w:hint="eastAsia" w:ascii="Times New Roman" w:hAnsi="Times New Roman" w:eastAsia="宋体" w:cs="Times New Roman"/>
                      <w:color w:val="000000"/>
                      <w:sz w:val="21"/>
                      <w:szCs w:val="21"/>
                      <w:lang w:val="en-US" w:eastAsia="zh-CN"/>
                    </w:rPr>
                    <w:t>类卫生材料</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4" w:hRule="atLeast"/>
                <w:jc w:val="center"/>
              </w:trPr>
              <w:tc>
                <w:tcPr>
                  <w:tcW w:w="108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142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废气处理</w:t>
                  </w:r>
                </w:p>
              </w:tc>
              <w:tc>
                <w:tcPr>
                  <w:tcW w:w="2578"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灭菌解析：“水吸收+活性炭（碘值不低于800mg/g）吸附装置”+24m高排气筒</w:t>
                  </w:r>
                </w:p>
              </w:tc>
              <w:tc>
                <w:tcPr>
                  <w:tcW w:w="254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“水吸收+活性炭（碘值不低于800mg/g）吸附装置”+24m高排气筒</w:t>
                  </w:r>
                </w:p>
              </w:tc>
              <w:tc>
                <w:tcPr>
                  <w:tcW w:w="1079"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142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578" w:type="dxa"/>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宋体"/>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包装封口：“活性炭（碘值不低于800mg/g）吸附装置”+24m高排气筒（P1）（与灭菌、解析工序共用环保设施及排气筒）</w:t>
                  </w:r>
                </w:p>
              </w:tc>
              <w:tc>
                <w:tcPr>
                  <w:tcW w:w="2543"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“活性炭（碘值不低于800mg/g）吸附装置”+24m高排气筒（P1）（与灭菌、解析工序共用环保设施及排气筒）</w:t>
                  </w:r>
                </w:p>
              </w:tc>
              <w:tc>
                <w:tcPr>
                  <w:tcW w:w="1079"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废水处理</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生活污水：经化粪池处理后，</w:t>
                  </w:r>
                  <w:r>
                    <w:rPr>
                      <w:rFonts w:hint="default" w:ascii="Times New Roman" w:hAnsi="Times New Roman" w:eastAsia="宋体" w:cs="Times New Roman"/>
                      <w:color w:val="000000"/>
                      <w:kern w:val="0"/>
                      <w:sz w:val="21"/>
                      <w:szCs w:val="21"/>
                    </w:rPr>
                    <w:t>定期清掏用</w:t>
                  </w:r>
                  <w:r>
                    <w:rPr>
                      <w:rFonts w:hint="eastAsia" w:ascii="Times New Roman" w:hAnsi="Times New Roman" w:eastAsia="宋体" w:cs="Times New Roman"/>
                      <w:color w:val="000000"/>
                      <w:kern w:val="0"/>
                      <w:sz w:val="21"/>
                      <w:szCs w:val="21"/>
                      <w:lang w:val="en-US" w:eastAsia="zh-CN"/>
                    </w:rPr>
                    <w:t>于资源化利用</w:t>
                  </w:r>
                  <w:r>
                    <w:rPr>
                      <w:rFonts w:hint="default" w:ascii="Times New Roman" w:hAnsi="Times New Roman" w:eastAsia="宋体" w:cs="Times New Roman"/>
                      <w:color w:val="000000"/>
                      <w:kern w:val="0"/>
                      <w:sz w:val="21"/>
                      <w:szCs w:val="21"/>
                    </w:rPr>
                    <w:t>，不外排</w:t>
                  </w:r>
                </w:p>
              </w:tc>
              <w:tc>
                <w:tcPr>
                  <w:tcW w:w="254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经化粪池处理后，</w:t>
                  </w:r>
                  <w:r>
                    <w:rPr>
                      <w:rFonts w:hint="default" w:ascii="Times New Roman" w:hAnsi="Times New Roman" w:eastAsia="宋体" w:cs="Times New Roman"/>
                      <w:color w:val="000000"/>
                      <w:kern w:val="0"/>
                      <w:sz w:val="21"/>
                      <w:szCs w:val="21"/>
                    </w:rPr>
                    <w:t>定期清掏用</w:t>
                  </w:r>
                  <w:r>
                    <w:rPr>
                      <w:rFonts w:hint="eastAsia" w:ascii="Times New Roman" w:hAnsi="Times New Roman" w:eastAsia="宋体" w:cs="Times New Roman"/>
                      <w:color w:val="000000"/>
                      <w:kern w:val="0"/>
                      <w:sz w:val="21"/>
                      <w:szCs w:val="21"/>
                      <w:lang w:val="en-US" w:eastAsia="zh-CN"/>
                    </w:rPr>
                    <w:t>于资源化利用</w:t>
                  </w:r>
                  <w:r>
                    <w:rPr>
                      <w:rFonts w:hint="default" w:ascii="Times New Roman" w:hAnsi="Times New Roman" w:eastAsia="宋体" w:cs="Times New Roman"/>
                      <w:color w:val="000000"/>
                      <w:kern w:val="0"/>
                      <w:sz w:val="21"/>
                      <w:szCs w:val="21"/>
                    </w:rPr>
                    <w:t>，不外排</w:t>
                  </w:r>
                </w:p>
              </w:tc>
              <w:tc>
                <w:tcPr>
                  <w:tcW w:w="1079"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固废处理</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一般固体废物经分类收集后出售</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一般固废暂存处</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2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危险废物在危废暂存建暂存后定期交由有资质单位处理</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5</w:t>
            </w:r>
            <w:r>
              <w:rPr>
                <w:rFonts w:hint="default" w:ascii="Times New Roman" w:hAnsi="Times New Roman" w:cs="Times New Roman" w:eastAsiaTheme="minorEastAsia"/>
                <w:b/>
                <w:bCs/>
                <w:color w:val="auto"/>
                <w:kern w:val="2"/>
                <w:sz w:val="21"/>
                <w:szCs w:val="21"/>
                <w:lang w:val="en-US" w:eastAsia="zh-CN" w:bidi="ar-SA"/>
              </w:rPr>
              <w:t xml:space="preserve"> 本工程</w:t>
            </w:r>
            <w:r>
              <w:rPr>
                <w:rFonts w:hint="eastAsia" w:ascii="Times New Roman" w:hAnsi="Times New Roman" w:cs="Times New Roman" w:eastAsiaTheme="minorEastAsia"/>
                <w:b/>
                <w:bCs/>
                <w:color w:val="auto"/>
                <w:kern w:val="2"/>
                <w:sz w:val="21"/>
                <w:szCs w:val="21"/>
                <w:lang w:val="en-US" w:eastAsia="zh-CN" w:bidi="ar-SA"/>
              </w:rPr>
              <w:t>新增</w:t>
            </w:r>
            <w:r>
              <w:rPr>
                <w:rFonts w:hint="default" w:ascii="Times New Roman" w:hAnsi="Times New Roman" w:cs="Times New Roman" w:eastAsiaTheme="minorEastAsia"/>
                <w:b/>
                <w:bCs/>
                <w:color w:val="auto"/>
                <w:kern w:val="2"/>
                <w:sz w:val="21"/>
                <w:szCs w:val="21"/>
                <w:lang w:val="en-US" w:eastAsia="zh-CN" w:bidi="ar-SA"/>
              </w:rPr>
              <w:t>主要设备情况一览表</w:t>
            </w:r>
          </w:p>
          <w:tbl>
            <w:tblPr>
              <w:tblStyle w:val="2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3085"/>
              <w:gridCol w:w="2453"/>
              <w:gridCol w:w="1947"/>
            </w:tblGrid>
            <w:tr>
              <w:tblPrEx>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序号</w:t>
                  </w:r>
                </w:p>
              </w:tc>
              <w:tc>
                <w:tcPr>
                  <w:tcW w:w="308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设备名称</w:t>
                  </w:r>
                </w:p>
              </w:tc>
              <w:tc>
                <w:tcPr>
                  <w:tcW w:w="24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数量</w:t>
                  </w:r>
                </w:p>
              </w:tc>
              <w:tc>
                <w:tcPr>
                  <w:tcW w:w="1947"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1</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环氧乙烷灭菌</w:t>
                  </w:r>
                  <w:r>
                    <w:rPr>
                      <w:rFonts w:hint="eastAsia" w:asciiTheme="minorEastAsia" w:hAnsiTheme="minorEastAsia" w:eastAsiaTheme="minorEastAsia" w:cstheme="minorEastAsia"/>
                      <w:sz w:val="21"/>
                      <w:szCs w:val="21"/>
                      <w:lang w:val="en-US" w:eastAsia="zh-CN"/>
                    </w:rPr>
                    <w:t>柜</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0"/>
                      <w:sz w:val="21"/>
                      <w:szCs w:val="21"/>
                      <w:lang w:val="en-US"/>
                    </w:rPr>
                  </w:pPr>
                  <w:r>
                    <w:rPr>
                      <w:rFonts w:hint="default" w:ascii="Times New Roman" w:hAnsi="Times New Roman" w:cs="Times New Roman" w:eastAsiaTheme="minorEastAsia"/>
                      <w:kern w:val="2"/>
                      <w:sz w:val="21"/>
                      <w:szCs w:val="21"/>
                      <w:lang w:val="en-US" w:eastAsia="zh-CN" w:bidi="ar-SA"/>
                    </w:rPr>
                    <w:t>1台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2</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口罩机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SA"/>
                    </w:rPr>
                    <w:t>10台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帽</w:t>
                  </w:r>
                  <w:r>
                    <w:rPr>
                      <w:rFonts w:hint="eastAsia" w:asciiTheme="minorEastAsia" w:hAnsiTheme="minorEastAsia" w:eastAsiaTheme="minorEastAsia" w:cstheme="minorEastAsia"/>
                      <w:sz w:val="21"/>
                      <w:szCs w:val="21"/>
                    </w:rPr>
                    <w:t>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8台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纱布折叠机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8台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5</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抻布</w:t>
                  </w:r>
                  <w:r>
                    <w:rPr>
                      <w:rFonts w:hint="eastAsia" w:asciiTheme="minorEastAsia" w:hAnsiTheme="minorEastAsia" w:eastAsiaTheme="minorEastAsia" w:cstheme="minorEastAsia"/>
                      <w:sz w:val="21"/>
                      <w:szCs w:val="21"/>
                    </w:rPr>
                    <w:t>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缝纫机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kern w:val="2"/>
                      <w:sz w:val="21"/>
                      <w:szCs w:val="21"/>
                      <w:lang w:val="en-US" w:eastAsia="zh-CN" w:bidi="ar-SA"/>
                    </w:rPr>
                    <w:t>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7</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锁边机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10台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8</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棉签</w:t>
                  </w:r>
                  <w:r>
                    <w:rPr>
                      <w:rFonts w:hint="eastAsia" w:asciiTheme="minorEastAsia" w:hAnsiTheme="minorEastAsia" w:eastAsiaTheme="minorEastAsia" w:cstheme="minorEastAsia"/>
                      <w:sz w:val="21"/>
                      <w:szCs w:val="21"/>
                      <w:lang w:eastAsia="zh-CN"/>
                    </w:rPr>
                    <w:t>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9</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棉球机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10</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绷带</w:t>
                  </w:r>
                  <w:r>
                    <w:rPr>
                      <w:rFonts w:hint="eastAsia" w:asciiTheme="minorEastAsia" w:hAnsiTheme="minorEastAsia" w:eastAsiaTheme="minorEastAsia" w:cstheme="minorEastAsia"/>
                      <w:sz w:val="21"/>
                      <w:szCs w:val="21"/>
                      <w:lang w:val="en-US" w:eastAsia="zh-CN"/>
                    </w:rPr>
                    <w:t>打卷</w:t>
                  </w:r>
                  <w:r>
                    <w:rPr>
                      <w:rFonts w:hint="eastAsia" w:asciiTheme="minorEastAsia" w:hAnsiTheme="minorEastAsia" w:eastAsiaTheme="minorEastAsia" w:cstheme="minorEastAsia"/>
                      <w:sz w:val="21"/>
                      <w:szCs w:val="21"/>
                      <w:lang w:eastAsia="zh-CN"/>
                    </w:rPr>
                    <w:t>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11</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绷带</w:t>
                  </w:r>
                  <w:r>
                    <w:rPr>
                      <w:rFonts w:hint="eastAsia" w:asciiTheme="minorEastAsia" w:hAnsiTheme="minorEastAsia" w:eastAsiaTheme="minorEastAsia" w:cstheme="minorEastAsia"/>
                      <w:sz w:val="21"/>
                      <w:szCs w:val="21"/>
                      <w:lang w:val="en-US" w:eastAsia="zh-CN"/>
                    </w:rPr>
                    <w:t>分切</w:t>
                  </w:r>
                  <w:r>
                    <w:rPr>
                      <w:rFonts w:hint="eastAsia" w:asciiTheme="minorEastAsia" w:hAnsiTheme="minorEastAsia" w:eastAsiaTheme="minorEastAsia" w:cstheme="minorEastAsia"/>
                      <w:sz w:val="21"/>
                      <w:szCs w:val="21"/>
                      <w:lang w:eastAsia="zh-CN"/>
                    </w:rPr>
                    <w:t>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12</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连续封口机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6台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13</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真空封口机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14</w:t>
                  </w:r>
                </w:p>
              </w:tc>
              <w:tc>
                <w:tcPr>
                  <w:tcW w:w="30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打包机</w:t>
                  </w:r>
                </w:p>
              </w:tc>
              <w:tc>
                <w:tcPr>
                  <w:tcW w:w="24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4台</w:t>
                  </w:r>
                </w:p>
              </w:tc>
              <w:tc>
                <w:tcPr>
                  <w:tcW w:w="194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环保设施环评、实际建设情况一览表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995"/>
              <w:gridCol w:w="2482"/>
              <w:gridCol w:w="2160"/>
              <w:gridCol w:w="1065"/>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48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灭菌解析</w:t>
                  </w:r>
                </w:p>
              </w:tc>
              <w:tc>
                <w:tcPr>
                  <w:tcW w:w="248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灭菌解析：“水吸收+活性炭（碘值不低于800mg/g）吸附装置”+24m高排气筒</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“水吸收+活性炭（碘值不低于800mg/g）吸附装置”+24m高排气筒</w:t>
                  </w:r>
                </w:p>
              </w:tc>
              <w:tc>
                <w:tcPr>
                  <w:tcW w:w="106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套</w:t>
                  </w:r>
                </w:p>
              </w:tc>
              <w:tc>
                <w:tcPr>
                  <w:tcW w:w="147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包装封口</w:t>
                  </w:r>
                </w:p>
              </w:tc>
              <w:tc>
                <w:tcPr>
                  <w:tcW w:w="248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包装封口：“活性炭（碘值不低于800mg/g）吸附装置”+24m高排气筒（P1）（与灭菌、解析工序共用环保设施及排气筒）</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Style w:val="23"/>
                      <w:rFonts w:hint="eastAsia" w:ascii="Times New Roman" w:hAnsi="Times New Roman" w:eastAsia="宋体" w:cs="Times New Roman"/>
                      <w:b w:val="0"/>
                      <w:bCs w:val="0"/>
                      <w:color w:val="auto"/>
                      <w:sz w:val="21"/>
                      <w:szCs w:val="21"/>
                      <w:u w:val="none"/>
                      <w:lang w:val="en-US" w:eastAsia="zh-CN"/>
                    </w:rPr>
                    <w:t>“活性炭（碘值不低于800mg/g）吸附装置”+24m高排气筒（P1）（与灭菌、解析工序共用环保设施及排气筒）</w:t>
                  </w:r>
                </w:p>
              </w:tc>
              <w:tc>
                <w:tcPr>
                  <w:tcW w:w="1065" w:type="dxa"/>
                  <w:vMerge w:val="continue"/>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2" w:type="dxa"/>
                  <w:vMerge w:val="continue"/>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48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经化粪池处理后，定期清运</w:t>
                  </w:r>
                </w:p>
              </w:tc>
              <w:tc>
                <w:tcPr>
                  <w:tcW w:w="216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经化粪池处理后，定期清运</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4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收集后出售</w:t>
                  </w:r>
                </w:p>
              </w:tc>
              <w:tc>
                <w:tcPr>
                  <w:tcW w:w="21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一般固废暂存处</w:t>
                  </w:r>
                </w:p>
              </w:tc>
              <w:tc>
                <w:tcPr>
                  <w:tcW w:w="10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14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4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危废间暂存后定期处理</w:t>
                  </w:r>
                </w:p>
              </w:tc>
              <w:tc>
                <w:tcPr>
                  <w:tcW w:w="21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w:t>
                  </w:r>
                </w:p>
              </w:tc>
              <w:tc>
                <w:tcPr>
                  <w:tcW w:w="10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一座</w:t>
                  </w:r>
                </w:p>
              </w:tc>
              <w:tc>
                <w:tcPr>
                  <w:tcW w:w="14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本工程原辅材料及能源消耗情况一览表</w:t>
            </w:r>
          </w:p>
          <w:tbl>
            <w:tblPr>
              <w:tblStyle w:val="24"/>
              <w:tblW w:w="851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7"/>
              <w:gridCol w:w="1573"/>
              <w:gridCol w:w="1643"/>
              <w:gridCol w:w="1643"/>
              <w:gridCol w:w="1619"/>
              <w:gridCol w:w="1489"/>
              <w:gridCol w:w="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序号</w:t>
                  </w:r>
                </w:p>
              </w:tc>
              <w:tc>
                <w:tcPr>
                  <w:tcW w:w="15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名称</w:t>
                  </w:r>
                </w:p>
              </w:tc>
              <w:tc>
                <w:tcPr>
                  <w:tcW w:w="16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单位</w:t>
                  </w:r>
                </w:p>
              </w:tc>
              <w:tc>
                <w:tcPr>
                  <w:tcW w:w="16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计划年消耗量</w:t>
                  </w:r>
                </w:p>
              </w:tc>
              <w:tc>
                <w:tcPr>
                  <w:tcW w:w="16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实际年消耗量</w:t>
                  </w:r>
                </w:p>
              </w:tc>
              <w:tc>
                <w:tcPr>
                  <w:tcW w:w="15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36"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1</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rPr>
                    <w:t>脱脂纱布</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20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20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2</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rPr>
                    <w:t>无纺布</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70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70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3</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熔喷布</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4</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rPr>
                    <w:t>脱脂棉</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5</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竹棍</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6</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耳带</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4</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4</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7</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鼻梁条</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2</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2</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8</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木棉纸</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9</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流延膜</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3</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3</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10</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棉袖口</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万双</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6</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6</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11</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rPr>
                    <w:t>镊子</w:t>
                  </w:r>
                  <w:r>
                    <w:rPr>
                      <w:rFonts w:hint="eastAsia" w:ascii="Times New Roman" w:hAnsi="Times New Roman" w:eastAsia="宋体" w:cs="Times New Roman"/>
                      <w:b w:val="0"/>
                      <w:bCs w:val="0"/>
                      <w:color w:val="000000"/>
                      <w:sz w:val="21"/>
                      <w:szCs w:val="21"/>
                      <w:highlight w:val="none"/>
                      <w:u w:val="none"/>
                      <w:lang w:eastAsia="zh-CN"/>
                    </w:rPr>
                    <w:t>、</w:t>
                  </w:r>
                  <w:r>
                    <w:rPr>
                      <w:rFonts w:hint="eastAsia" w:ascii="Times New Roman" w:hAnsi="Times New Roman" w:eastAsia="宋体" w:cs="Times New Roman"/>
                      <w:b w:val="0"/>
                      <w:bCs w:val="0"/>
                      <w:color w:val="000000"/>
                      <w:sz w:val="21"/>
                      <w:szCs w:val="21"/>
                      <w:highlight w:val="none"/>
                      <w:u w:val="none"/>
                      <w:lang w:val="en-US" w:eastAsia="zh-CN"/>
                    </w:rPr>
                    <w:t>托盘、橡胶手套等包类组件</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rPr>
                    <w:t>万</w:t>
                  </w:r>
                  <w:r>
                    <w:rPr>
                      <w:rFonts w:hint="eastAsia" w:ascii="Times New Roman" w:hAnsi="Times New Roman" w:eastAsia="宋体" w:cs="Times New Roman"/>
                      <w:b w:val="0"/>
                      <w:bCs w:val="0"/>
                      <w:sz w:val="21"/>
                      <w:szCs w:val="21"/>
                      <w:highlight w:val="none"/>
                      <w:u w:val="none"/>
                      <w:lang w:val="en-US" w:eastAsia="zh-CN"/>
                    </w:rPr>
                    <w:t>件</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1.8</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1.8</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12</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rPr>
                    <w:t>包装袋</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t</w:t>
                  </w:r>
                  <w:r>
                    <w:rPr>
                      <w:rFonts w:hint="default" w:ascii="Times New Roman" w:hAnsi="Times New Roman" w:eastAsia="宋体" w:cs="Times New Roman"/>
                      <w:b w:val="0"/>
                      <w:bCs w:val="0"/>
                      <w:sz w:val="21"/>
                      <w:szCs w:val="21"/>
                      <w:highlight w:val="none"/>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13</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rPr>
                    <w:t>包装箱</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rPr>
                    <w:t>万个/a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9.5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9.5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14</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highlight w:val="none"/>
                      <w:u w:val="none"/>
                      <w:lang w:val="en-US" w:eastAsia="zh-CN"/>
                    </w:rPr>
                  </w:pPr>
                  <w:r>
                    <w:rPr>
                      <w:rFonts w:hint="eastAsia" w:ascii="Times New Roman" w:hAnsi="Times New Roman" w:eastAsia="宋体" w:cs="Times New Roman"/>
                      <w:b w:val="0"/>
                      <w:bCs w:val="0"/>
                      <w:sz w:val="21"/>
                      <w:szCs w:val="21"/>
                      <w:highlight w:val="none"/>
                      <w:u w:val="none"/>
                      <w:lang w:val="en-US" w:eastAsia="zh-CN"/>
                    </w:rPr>
                    <w:t>打包带</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sz w:val="21"/>
                      <w:szCs w:val="21"/>
                      <w:highlight w:val="none"/>
                      <w:u w:val="none"/>
                      <w:lang w:val="en-US" w:eastAsia="zh-CN"/>
                    </w:rPr>
                    <w:t>盘/a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1000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1000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15</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eastAsia" w:ascii="Times New Roman" w:hAnsi="Times New Roman" w:eastAsia="宋体" w:cs="Times New Roman"/>
                      <w:b w:val="0"/>
                      <w:bCs w:val="0"/>
                      <w:sz w:val="21"/>
                      <w:szCs w:val="21"/>
                      <w:highlight w:val="none"/>
                      <w:u w:val="none"/>
                      <w:lang w:val="en-US" w:eastAsia="zh-CN"/>
                    </w:rPr>
                    <w:t>环氧乙烷</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rPr>
                    <w:t>吨/a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color w:val="000000"/>
                      <w:sz w:val="21"/>
                      <w:szCs w:val="21"/>
                      <w:highlight w:val="none"/>
                      <w:u w:val="none"/>
                      <w:lang w:val="en-US" w:eastAsia="zh-CN"/>
                    </w:rPr>
                    <w:t>5</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16</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新鲜水</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u w:val="none"/>
                    </w:rPr>
                    <w:t>m</w:t>
                  </w:r>
                  <w:r>
                    <w:rPr>
                      <w:rFonts w:hint="default" w:ascii="Times New Roman" w:hAnsi="Times New Roman" w:eastAsia="宋体" w:cs="Times New Roman"/>
                      <w:b w:val="0"/>
                      <w:bCs w:val="0"/>
                      <w:sz w:val="21"/>
                      <w:szCs w:val="21"/>
                      <w:u w:val="none"/>
                      <w:vertAlign w:val="superscript"/>
                    </w:rPr>
                    <w:t>3</w:t>
                  </w:r>
                  <w:r>
                    <w:rPr>
                      <w:rFonts w:hint="default" w:ascii="Times New Roman" w:hAnsi="Times New Roman" w:eastAsia="宋体" w:cs="Times New Roman"/>
                      <w:b w:val="0"/>
                      <w:bCs w:val="0"/>
                      <w:sz w:val="21"/>
                      <w:szCs w:val="21"/>
                      <w:u w:val="none"/>
                    </w:rPr>
                    <w:t>/a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360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360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3" w:type="dxa"/>
                <w:trHeight w:val="340" w:hRule="atLeast"/>
                <w:jc w:val="center"/>
              </w:trPr>
              <w:tc>
                <w:tcPr>
                  <w:tcW w:w="53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eastAsiaTheme="minorEastAsia"/>
                      <w:b w:val="0"/>
                      <w:bCs w:val="0"/>
                      <w:sz w:val="21"/>
                      <w:szCs w:val="21"/>
                      <w:u w:val="none"/>
                      <w:lang w:val="en-US" w:eastAsia="zh-CN"/>
                    </w:rPr>
                    <w:t>17</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电</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default" w:ascii="Times New Roman" w:hAnsi="Times New Roman" w:eastAsia="宋体" w:cs="Times New Roman"/>
                      <w:b w:val="0"/>
                      <w:bCs w:val="0"/>
                      <w:sz w:val="21"/>
                      <w:szCs w:val="21"/>
                      <w:u w:val="none"/>
                    </w:rPr>
                    <w:t>万kwh/a</w:t>
                  </w:r>
                </w:p>
              </w:tc>
              <w:tc>
                <w:tcPr>
                  <w:tcW w:w="1643"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sz w:val="21"/>
                      <w:szCs w:val="21"/>
                      <w:highlight w:val="none"/>
                      <w:u w:val="none"/>
                      <w:lang w:val="en-US" w:eastAsia="zh-CN"/>
                    </w:rPr>
                    <w:t>10</w:t>
                  </w:r>
                </w:p>
              </w:tc>
              <w:tc>
                <w:tcPr>
                  <w:tcW w:w="1619"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sz w:val="21"/>
                      <w:szCs w:val="21"/>
                      <w:highlight w:val="none"/>
                      <w:u w:val="none"/>
                      <w:lang w:val="en-US" w:eastAsia="zh-CN"/>
                    </w:rPr>
                    <w:t>10</w:t>
                  </w:r>
                </w:p>
              </w:tc>
              <w:tc>
                <w:tcPr>
                  <w:tcW w:w="14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default" w:ascii="Times New Roman" w:hAnsi="Times New Roman" w:cs="Times New Roman" w:eastAsiaTheme="minorEastAsia"/>
                      <w:b w:val="0"/>
                      <w:bCs w:val="0"/>
                      <w:sz w:val="21"/>
                      <w:szCs w:val="21"/>
                      <w:u w:val="none"/>
                      <w:lang w:val="en-US" w:eastAsia="zh-CN"/>
                    </w:rPr>
                    <w:t>一致</w:t>
                  </w:r>
                </w:p>
              </w:tc>
            </w:tr>
          </w:tbl>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eastAsia="宋体" w:cs="Times New Roman"/>
                <w:b w:val="0"/>
                <w:bCs/>
                <w:i w:val="0"/>
                <w:iCs w:val="0"/>
                <w:color w:val="auto"/>
                <w:sz w:val="24"/>
                <w:u w:val="none"/>
                <w:lang w:eastAsia="zh-CN"/>
              </w:rPr>
            </w:pPr>
            <w:r>
              <w:rPr>
                <w:rFonts w:hint="eastAsia" w:ascii="Times New Roman" w:hAnsi="Times New Roman" w:eastAsia="宋体" w:cs="Times New Roman"/>
                <w:b w:val="0"/>
                <w:bCs/>
                <w:i w:val="0"/>
                <w:iCs w:val="0"/>
                <w:color w:val="auto"/>
                <w:sz w:val="24"/>
                <w:u w:val="none"/>
                <w:lang w:eastAsia="zh-CN"/>
              </w:rPr>
              <w:t>本项目灭菌解析水吸收用水循环使用，不外排；废水主要为员工生活污水。</w:t>
            </w:r>
          </w:p>
          <w:p>
            <w:pPr>
              <w:pStyle w:val="3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Cs/>
                <w:kern w:val="0"/>
                <w:sz w:val="24"/>
                <w:szCs w:val="24"/>
              </w:rPr>
              <w:t>本项目生活用水量为</w:t>
            </w:r>
            <w:r>
              <w:rPr>
                <w:rFonts w:hint="eastAsia" w:ascii="Times New Roman" w:hAnsi="Times New Roman" w:eastAsia="宋体" w:cs="Times New Roman"/>
                <w:bCs/>
                <w:kern w:val="0"/>
                <w:sz w:val="24"/>
                <w:szCs w:val="24"/>
                <w:lang w:val="en-US" w:eastAsia="zh-CN"/>
              </w:rPr>
              <w:t>24</w:t>
            </w:r>
            <w:r>
              <w:rPr>
                <w:rFonts w:hint="default" w:ascii="Times New Roman" w:hAnsi="Times New Roman" w:eastAsia="宋体" w:cs="Times New Roman"/>
                <w:bCs/>
                <w:kern w:val="0"/>
                <w:sz w:val="24"/>
                <w:szCs w:val="24"/>
                <w:lang w:val="en-US" w:eastAsia="zh-CN"/>
              </w:rPr>
              <w:t>0</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/a，产污系数取80%，即生活污水产生量约</w:t>
            </w:r>
            <w:r>
              <w:rPr>
                <w:rFonts w:hint="eastAsia" w:ascii="Times New Roman" w:hAnsi="Times New Roman" w:eastAsia="宋体" w:cs="Times New Roman"/>
                <w:bCs/>
                <w:kern w:val="0"/>
                <w:sz w:val="24"/>
                <w:szCs w:val="24"/>
                <w:lang w:val="en-US" w:eastAsia="zh-CN"/>
              </w:rPr>
              <w:t>192</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w:t>
            </w:r>
            <w:r>
              <w:rPr>
                <w:rFonts w:hint="eastAsia" w:ascii="Times New Roman" w:hAnsi="Times New Roman" w:eastAsia="宋体" w:cs="Times New Roman"/>
                <w:bCs/>
                <w:kern w:val="0"/>
                <w:sz w:val="24"/>
                <w:szCs w:val="24"/>
                <w:lang w:val="en-US" w:eastAsia="zh-CN"/>
              </w:rPr>
              <w:t>0.64</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/d）</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rPr>
              <w:t>生活废水经</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化粪池处理后</w:t>
            </w:r>
            <w:r>
              <w:rPr>
                <w:rFonts w:hint="default" w:ascii="Times New Roman" w:hAnsi="Times New Roman" w:eastAsia="宋体" w:cs="Times New Roman"/>
                <w:sz w:val="24"/>
                <w:szCs w:val="24"/>
                <w:lang w:val="en-US" w:eastAsia="zh-CN"/>
              </w:rPr>
              <w:t>定期清掏用于资源化利用，不外排</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Cs/>
                <w:kern w:val="0"/>
                <w:sz w:val="24"/>
                <w:szCs w:val="24"/>
                <w:lang w:eastAsia="zh-CN"/>
              </w:rPr>
              <w:drawing>
                <wp:inline distT="0" distB="0" distL="114300" distR="114300">
                  <wp:extent cx="5400675" cy="962025"/>
                  <wp:effectExtent l="0" t="0" r="9525" b="9525"/>
                  <wp:docPr id="2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
                          <pic:cNvPicPr>
                            <a:picLocks noChangeAspect="1"/>
                          </pic:cNvPicPr>
                        </pic:nvPicPr>
                        <pic:blipFill>
                          <a:blip r:embed="rId11"/>
                          <a:stretch>
                            <a:fillRect/>
                          </a:stretch>
                        </pic:blipFill>
                        <pic:spPr>
                          <a:xfrm>
                            <a:off x="0" y="0"/>
                            <a:ext cx="5400675" cy="962025"/>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医用帽、医用口罩、医用棉签、棉球等生产工艺及产污流程图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将医用帽、医用口罩、棉签、棉球等原料直接在帽机（口罩机、棉签机、棉球机等）上进行加工，再利用包装机、封口机对加工好的产品进行包装封口，此过程会产生少量挥发性有机废气（非甲烷总烃）。最后将产品移入到灭菌、解析车间进行灭菌解析后即为成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采用环氧乙烷灭菌器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送入“水吸收+活性炭（碘值不低于800mg/g）吸附装置”进行处理。随后将产品移至解析库内静置，使产品中残余的环氧乙烷解析出来，通过抽风装置送入“水吸收+活性炭（碘值不低于800mg/g）吸附装置”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5407025" cy="826135"/>
                  <wp:effectExtent l="0" t="0" r="3175" b="12065"/>
                  <wp:docPr id="2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
                          <pic:cNvPicPr>
                            <a:picLocks noChangeAspect="1"/>
                          </pic:cNvPicPr>
                        </pic:nvPicPr>
                        <pic:blipFill>
                          <a:blip r:embed="rId12"/>
                          <a:stretch>
                            <a:fillRect/>
                          </a:stretch>
                        </pic:blipFill>
                        <pic:spPr>
                          <a:xfrm>
                            <a:off x="0" y="0"/>
                            <a:ext cx="5407025" cy="826135"/>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手术衣、中单</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等生产工艺及产污流程图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外购脱脂纱布、脱脂棉、无纺布等原材料，将原料按照客户需要尺寸进行分切，分切后采用折叠机、缝纫机按照各产品工艺进行折叠、缝制，再利用包装机、封口机对加工好的产品进行包装封口，此过程会产生少量挥发性有机废气（非甲烷总烃）。最后将产品移入到灭菌、解析车间进行灭菌解析后即为成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lang w:val="en-US" w:eastAsia="zh-CN"/>
              </w:rPr>
              <w:drawing>
                <wp:inline distT="0" distB="0" distL="114300" distR="114300">
                  <wp:extent cx="5419725" cy="1047750"/>
                  <wp:effectExtent l="0" t="0" r="9525" b="0"/>
                  <wp:docPr id="22"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1"/>
                          <pic:cNvPicPr>
                            <a:picLocks noChangeAspect="1"/>
                          </pic:cNvPicPr>
                        </pic:nvPicPr>
                        <pic:blipFill>
                          <a:blip r:embed="rId13"/>
                          <a:stretch>
                            <a:fillRect/>
                          </a:stretch>
                        </pic:blipFill>
                        <pic:spPr>
                          <a:xfrm>
                            <a:off x="0" y="0"/>
                            <a:ext cx="5419725" cy="1047750"/>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42" w:firstLineChars="200"/>
              <w:jc w:val="center"/>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2"/>
                <w:szCs w:val="22"/>
                <w:lang w:val="en-US" w:eastAsia="zh-CN" w:bidi="ar"/>
                <w14:textFill>
                  <w14:solidFill>
                    <w14:schemeClr w14:val="tx1"/>
                  </w14:solidFill>
                </w14:textFill>
              </w:rPr>
              <w:t>组合包类制品</w:t>
            </w:r>
            <w:r>
              <w:rPr>
                <w:rFonts w:hint="default" w:ascii="Times New Roman" w:hAnsi="Times New Roman" w:eastAsia="宋体" w:cs="Times New Roman"/>
                <w:b/>
                <w:bCs/>
                <w:color w:val="000000" w:themeColor="text1"/>
                <w:kern w:val="0"/>
                <w:sz w:val="22"/>
                <w:szCs w:val="22"/>
                <w:lang w:val="en-US" w:eastAsia="zh-CN" w:bidi="ar"/>
                <w14:textFill>
                  <w14:solidFill>
                    <w14:schemeClr w14:val="tx1"/>
                  </w14:solidFill>
                </w14:textFill>
              </w:rPr>
              <w:t>等生产工艺及产污流程图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工艺流程简述：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outlineLvl w:val="9"/>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组合包类制品主要为一次性使用换药包、一次性使用无菌产包、一次性使用无菌手术包、一次性使用口腔包等，均为外购半成品。根据产品的不同，将镊子、托盘、橡胶手套等包类组件按要求进行装配，再利用包装机、封口机对加工好的产品进行包装封口，此过程会产生少量挥发性有机废气（非甲烷总烃）。最后将产品移入到灭菌、解析车间进行灭菌解析后即为成品。</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《河南省博越医疗器械有限公司年产9.5万件Ⅰ、Ⅱ类卫生材料项目环境影响报告表》</w:t>
            </w:r>
            <w:r>
              <w:rPr>
                <w:rFonts w:hint="eastAsia" w:ascii="Times New Roman" w:hAnsi="Times New Roman" w:cs="Times New Roman" w:eastAsiaTheme="minorEastAsia"/>
                <w:sz w:val="24"/>
                <w:szCs w:val="24"/>
                <w:lang w:val="en-US" w:eastAsia="zh-CN"/>
              </w:rPr>
              <w:t>及长垣市生态环境分局</w:t>
            </w:r>
            <w:r>
              <w:rPr>
                <w:rFonts w:hint="default" w:ascii="Times New Roman" w:hAnsi="Times New Roman" w:cs="Times New Roman" w:eastAsiaTheme="minorEastAsia"/>
                <w:sz w:val="24"/>
                <w:szCs w:val="24"/>
                <w:lang w:val="en-US" w:eastAsia="zh-CN"/>
              </w:rPr>
              <w:t>关于《</w:t>
            </w:r>
            <w:r>
              <w:rPr>
                <w:rFonts w:hint="default" w:ascii="Times New Roman" w:hAnsi="Times New Roman" w:cs="Times New Roman" w:eastAsiaTheme="minorEastAsia"/>
                <w:sz w:val="24"/>
                <w:szCs w:val="24"/>
                <w:lang w:val="en-US" w:eastAsia="zh-CN"/>
              </w:rPr>
              <w:t>河南省博越医疗器械有限公司年产9.5万件Ⅰ、Ⅱ类卫生材料项目环境影响报告表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eastAsiaTheme="minorEastAsia"/>
                <w:sz w:val="24"/>
                <w:szCs w:val="24"/>
                <w:lang w:val="en-US" w:eastAsia="zh-CN"/>
              </w:rPr>
              <w:t>本项目在实际建设中与环评一致，不存在变动。</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7"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项目运营过程产生的废气详见下表。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8</w:t>
            </w:r>
            <w:r>
              <w:rPr>
                <w:rFonts w:hint="default" w:ascii="Times New Roman" w:hAnsi="Times New Roman" w:cs="Times New Roman" w:eastAsiaTheme="minorEastAsia"/>
                <w:b/>
                <w:bCs/>
                <w:color w:val="auto"/>
                <w:kern w:val="2"/>
                <w:sz w:val="21"/>
                <w:szCs w:val="21"/>
                <w:lang w:val="en-US" w:eastAsia="zh-CN" w:bidi="ar-SA"/>
              </w:rPr>
              <w:t xml:space="preserve"> 本项目废气污染物情况一览表</w:t>
            </w:r>
          </w:p>
          <w:tbl>
            <w:tblPr>
              <w:tblStyle w:val="2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356"/>
              <w:gridCol w:w="1612"/>
              <w:gridCol w:w="1564"/>
              <w:gridCol w:w="1342"/>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4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车间</w:t>
                  </w:r>
                </w:p>
              </w:tc>
              <w:tc>
                <w:tcPr>
                  <w:tcW w:w="1356"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61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906" w:type="dxa"/>
                  <w:gridSpan w:val="2"/>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03"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142" w:type="dxa"/>
                  <w:vMerge w:val="restar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生产车间</w:t>
                  </w:r>
                </w:p>
              </w:tc>
              <w:tc>
                <w:tcPr>
                  <w:tcW w:w="1356"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灭菌解析</w:t>
                  </w:r>
                </w:p>
              </w:tc>
              <w:tc>
                <w:tcPr>
                  <w:tcW w:w="161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564"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喷淋塔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+活性炭吸附</w:t>
                  </w:r>
                </w:p>
              </w:tc>
              <w:tc>
                <w:tcPr>
                  <w:tcW w:w="1342" w:type="dxa"/>
                  <w:vMerge w:val="restar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24</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m排气筒</w:t>
                  </w:r>
                </w:p>
              </w:tc>
              <w:tc>
                <w:tcPr>
                  <w:tcW w:w="1503" w:type="dxa"/>
                  <w:vMerge w:val="restar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142" w:type="dxa"/>
                  <w:vMerge w:val="continue"/>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56"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包装封口</w:t>
                  </w:r>
                </w:p>
              </w:tc>
              <w:tc>
                <w:tcPr>
                  <w:tcW w:w="161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564"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活性炭吸附</w:t>
                  </w:r>
                </w:p>
              </w:tc>
              <w:tc>
                <w:tcPr>
                  <w:tcW w:w="1342" w:type="dxa"/>
                  <w:vMerge w:val="continue"/>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1503" w:type="dxa"/>
                  <w:vMerge w:val="continue"/>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4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56"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61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906" w:type="dxa"/>
                  <w:gridSpan w:val="2"/>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车间内无组织排放，通过加强车间机械通风来改善车间环境</w:t>
                  </w:r>
                </w:p>
              </w:tc>
              <w:tc>
                <w:tcPr>
                  <w:tcW w:w="1503"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本项目灭菌解析水吸收用水循环使用，不外排；废水主要为员工生活污水。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本项目生活用水量为240m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/a，产污系数取80%，即生活污水产生量约192m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/a（0.64m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/d）。生活废水经1×20m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的化粪池处理后定期清掏用于资源化利用，不外排。</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eastAsia="宋体" w:cs="Times New Roman"/>
                <w:sz w:val="24"/>
                <w:szCs w:val="24"/>
              </w:rPr>
              <w:t>项目噪声源</w:t>
            </w:r>
            <w:r>
              <w:rPr>
                <w:rFonts w:hint="eastAsia" w:ascii="Times New Roman" w:hAnsi="Times New Roman" w:eastAsia="宋体" w:cs="Times New Roman"/>
                <w:sz w:val="24"/>
                <w:szCs w:val="24"/>
                <w:lang w:val="en-US" w:eastAsia="zh-CN"/>
              </w:rPr>
              <w:t>主要</w:t>
            </w:r>
            <w:r>
              <w:rPr>
                <w:rFonts w:hint="default" w:ascii="Times New Roman" w:hAnsi="Times New Roman" w:eastAsia="宋体" w:cs="Times New Roman"/>
                <w:sz w:val="24"/>
                <w:szCs w:val="24"/>
              </w:rPr>
              <w:t>为</w:t>
            </w:r>
            <w:r>
              <w:rPr>
                <w:rFonts w:hint="eastAsia" w:ascii="Times New Roman" w:hAnsi="Times New Roman" w:eastAsia="宋体" w:cs="Times New Roman"/>
                <w:color w:val="000000"/>
                <w:sz w:val="24"/>
                <w:lang w:val="en-US" w:eastAsia="zh-CN"/>
              </w:rPr>
              <w:t>口罩机、帽机、纱布折叠机、缝纫机</w:t>
            </w:r>
            <w:r>
              <w:rPr>
                <w:rFonts w:hint="default" w:ascii="Times New Roman" w:hAnsi="Times New Roman" w:eastAsia="宋体" w:cs="Times New Roman"/>
                <w:sz w:val="24"/>
                <w:szCs w:val="24"/>
              </w:rPr>
              <w:t>等设施运行时产生的噪声。据类比调查，</w:t>
            </w:r>
            <w:r>
              <w:rPr>
                <w:rFonts w:hint="eastAsia" w:ascii="Times New Roman" w:hAnsi="Times New Roman" w:eastAsia="宋体" w:cs="Times New Roman"/>
                <w:sz w:val="24"/>
                <w:szCs w:val="24"/>
                <w:lang w:val="en-US" w:eastAsia="zh-CN"/>
              </w:rPr>
              <w:t>高</w:t>
            </w:r>
            <w:r>
              <w:rPr>
                <w:rFonts w:hint="default" w:ascii="Times New Roman" w:hAnsi="Times New Roman" w:eastAsia="宋体" w:cs="Times New Roman"/>
                <w:sz w:val="24"/>
                <w:szCs w:val="24"/>
              </w:rPr>
              <w:t>噪声设备源强在</w:t>
            </w:r>
            <w:r>
              <w:rPr>
                <w:rFonts w:hint="eastAsia" w:ascii="Times New Roman" w:hAnsi="Times New Roman" w:eastAsia="宋体" w:cs="Times New Roman"/>
                <w:sz w:val="24"/>
                <w:szCs w:val="24"/>
                <w:lang w:val="en-US" w:eastAsia="zh-CN"/>
              </w:rPr>
              <w:t>70</w:t>
            </w: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80</w:t>
            </w:r>
            <w:r>
              <w:rPr>
                <w:rFonts w:hint="default" w:ascii="Times New Roman" w:hAnsi="Times New Roman" w:eastAsia="宋体" w:cs="Times New Roman"/>
                <w:sz w:val="24"/>
                <w:szCs w:val="24"/>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9</w:t>
            </w:r>
            <w:r>
              <w:rPr>
                <w:rFonts w:hint="default" w:ascii="Times New Roman" w:hAnsi="Times New Roman" w:cs="Times New Roman" w:eastAsiaTheme="minorEastAsia"/>
                <w:b/>
                <w:bCs/>
                <w:color w:val="auto"/>
                <w:kern w:val="2"/>
                <w:sz w:val="21"/>
                <w:szCs w:val="21"/>
                <w:lang w:val="en-US" w:eastAsia="zh-CN" w:bidi="ar-SA"/>
              </w:rPr>
              <w:t>主要产噪设备及源强表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435"/>
              <w:gridCol w:w="2753"/>
              <w:gridCol w:w="1360"/>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607"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设备名称</w:t>
                  </w:r>
                </w:p>
              </w:tc>
              <w:tc>
                <w:tcPr>
                  <w:tcW w:w="143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治理前声级</w:t>
                  </w:r>
                </w:p>
              </w:tc>
              <w:tc>
                <w:tcPr>
                  <w:tcW w:w="27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治理措施</w:t>
                  </w:r>
                </w:p>
              </w:tc>
              <w:tc>
                <w:tcPr>
                  <w:tcW w:w="136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治理后声级</w:t>
                  </w:r>
                </w:p>
              </w:tc>
              <w:tc>
                <w:tcPr>
                  <w:tcW w:w="156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60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口罩机</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70</w:t>
                  </w:r>
                </w:p>
              </w:tc>
              <w:tc>
                <w:tcPr>
                  <w:tcW w:w="27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距离衰减，厂房隔声</w:t>
                  </w:r>
                </w:p>
              </w:tc>
              <w:tc>
                <w:tcPr>
                  <w:tcW w:w="13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w:t>
                  </w:r>
                </w:p>
              </w:tc>
              <w:tc>
                <w:tcPr>
                  <w:tcW w:w="156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每天</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60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帽</w:t>
                  </w:r>
                  <w:r>
                    <w:rPr>
                      <w:rFonts w:hint="default" w:ascii="Times New Roman" w:hAnsi="Times New Roman" w:cs="Times New Roman" w:eastAsiaTheme="minorEastAsia"/>
                      <w:sz w:val="21"/>
                      <w:szCs w:val="21"/>
                    </w:rPr>
                    <w:t>机</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70</w:t>
                  </w:r>
                </w:p>
              </w:tc>
              <w:tc>
                <w:tcPr>
                  <w:tcW w:w="27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距离衰减，厂房隔声</w:t>
                  </w:r>
                </w:p>
              </w:tc>
              <w:tc>
                <w:tcPr>
                  <w:tcW w:w="13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w:t>
                  </w:r>
                </w:p>
              </w:tc>
              <w:tc>
                <w:tcPr>
                  <w:tcW w:w="156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每天</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60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纱布折叠机</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75</w:t>
                  </w:r>
                </w:p>
              </w:tc>
              <w:tc>
                <w:tcPr>
                  <w:tcW w:w="27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距离衰减，厂房隔声</w:t>
                  </w:r>
                </w:p>
              </w:tc>
              <w:tc>
                <w:tcPr>
                  <w:tcW w:w="13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55</w:t>
                  </w:r>
                </w:p>
              </w:tc>
              <w:tc>
                <w:tcPr>
                  <w:tcW w:w="156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每天</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60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抻布</w:t>
                  </w:r>
                  <w:r>
                    <w:rPr>
                      <w:rFonts w:hint="default" w:ascii="Times New Roman" w:hAnsi="Times New Roman" w:cs="Times New Roman" w:eastAsiaTheme="minorEastAsia"/>
                      <w:sz w:val="21"/>
                      <w:szCs w:val="21"/>
                    </w:rPr>
                    <w:t>机</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75</w:t>
                  </w:r>
                </w:p>
              </w:tc>
              <w:tc>
                <w:tcPr>
                  <w:tcW w:w="27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距离衰减，厂房隔声</w:t>
                  </w:r>
                </w:p>
              </w:tc>
              <w:tc>
                <w:tcPr>
                  <w:tcW w:w="13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55</w:t>
                  </w:r>
                </w:p>
              </w:tc>
              <w:tc>
                <w:tcPr>
                  <w:tcW w:w="156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每天</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607" w:type="dxa"/>
                  <w:vAlign w:val="center"/>
                </w:tcPr>
                <w:p>
                  <w:pPr>
                    <w:keepNext w:val="0"/>
                    <w:keepLines w:val="0"/>
                    <w:pageBreakBefore w:val="0"/>
                    <w:widowControl/>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缝纫机</w:t>
                  </w:r>
                </w:p>
              </w:tc>
              <w:tc>
                <w:tcPr>
                  <w:tcW w:w="14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80</w:t>
                  </w:r>
                </w:p>
              </w:tc>
              <w:tc>
                <w:tcPr>
                  <w:tcW w:w="2753"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距离衰减，厂房隔声</w:t>
                  </w:r>
                </w:p>
              </w:tc>
              <w:tc>
                <w:tcPr>
                  <w:tcW w:w="13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60</w:t>
                  </w:r>
                </w:p>
              </w:tc>
              <w:tc>
                <w:tcPr>
                  <w:tcW w:w="156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每天</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h</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lang w:eastAsia="zh-CN"/>
                <w14:textFill>
                  <w14:solidFill>
                    <w14:schemeClr w14:val="tx1"/>
                  </w14:solidFill>
                </w14:textFill>
              </w:rPr>
              <w:t>本项目营运期固废产排情况见下表所示。</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10</w:t>
            </w:r>
            <w:r>
              <w:rPr>
                <w:rFonts w:hint="default" w:ascii="Times New Roman" w:hAnsi="Times New Roman" w:cs="Times New Roman" w:eastAsiaTheme="minorEastAsia"/>
                <w:b/>
                <w:bCs/>
                <w:color w:val="auto"/>
                <w:kern w:val="2"/>
                <w:sz w:val="21"/>
                <w:szCs w:val="21"/>
                <w:lang w:val="en-US" w:eastAsia="zh-CN" w:bidi="ar-SA"/>
              </w:rPr>
              <w:t xml:space="preserve"> 项目实施后固体废物产生情况一览表</w:t>
            </w:r>
          </w:p>
          <w:tbl>
            <w:tblPr>
              <w:tblStyle w:val="2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585"/>
              <w:gridCol w:w="1250"/>
              <w:gridCol w:w="131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类型</w:t>
                  </w:r>
                </w:p>
              </w:tc>
              <w:tc>
                <w:tcPr>
                  <w:tcW w:w="158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废物名称</w:t>
                  </w:r>
                </w:p>
              </w:tc>
              <w:tc>
                <w:tcPr>
                  <w:tcW w:w="125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产生量</w:t>
                  </w:r>
                </w:p>
              </w:tc>
              <w:tc>
                <w:tcPr>
                  <w:tcW w:w="13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lang w:val="en-US" w:eastAsia="zh-CN"/>
                    </w:rPr>
                    <w:t>类别</w:t>
                  </w:r>
                </w:p>
              </w:tc>
              <w:tc>
                <w:tcPr>
                  <w:tcW w:w="332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24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一般固废</w:t>
                  </w:r>
                </w:p>
              </w:tc>
              <w:tc>
                <w:tcPr>
                  <w:tcW w:w="158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边角料</w:t>
                  </w:r>
                </w:p>
              </w:tc>
              <w:tc>
                <w:tcPr>
                  <w:tcW w:w="125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color w:val="000000"/>
                      <w:sz w:val="21"/>
                      <w:szCs w:val="21"/>
                      <w:lang w:val="en-US" w:eastAsia="zh-CN"/>
                    </w:rPr>
                    <w:t>2</w:t>
                  </w:r>
                  <w:r>
                    <w:rPr>
                      <w:rFonts w:hint="default" w:ascii="Times New Roman" w:hAnsi="Times New Roman" w:cs="Times New Roman" w:eastAsiaTheme="minorEastAsia"/>
                      <w:color w:val="000000"/>
                      <w:sz w:val="21"/>
                      <w:szCs w:val="21"/>
                    </w:rPr>
                    <w:t>t/a</w:t>
                  </w:r>
                </w:p>
              </w:tc>
              <w:tc>
                <w:tcPr>
                  <w:tcW w:w="13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color w:val="000000"/>
                      <w:sz w:val="21"/>
                      <w:szCs w:val="21"/>
                      <w:lang w:val="en-US" w:eastAsia="zh-CN"/>
                    </w:rPr>
                    <w:t>/</w:t>
                  </w:r>
                </w:p>
              </w:tc>
              <w:tc>
                <w:tcPr>
                  <w:tcW w:w="332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集中收集</w:t>
                  </w:r>
                  <w:r>
                    <w:rPr>
                      <w:rFonts w:hint="default" w:ascii="Times New Roman" w:hAnsi="Times New Roman" w:cs="Times New Roman" w:eastAsiaTheme="minorEastAsia"/>
                      <w:sz w:val="21"/>
                      <w:szCs w:val="21"/>
                      <w:lang w:val="en-US" w:eastAsia="zh-CN"/>
                    </w:rPr>
                    <w:t>后</w:t>
                  </w:r>
                  <w:r>
                    <w:rPr>
                      <w:rFonts w:hint="default" w:ascii="Times New Roman" w:hAnsi="Times New Roman" w:cs="Times New Roman" w:eastAsiaTheme="minorEastAsia"/>
                      <w:color w:val="000000"/>
                      <w:sz w:val="21"/>
                      <w:szCs w:val="21"/>
                      <w:lang w:val="en-US" w:eastAsia="zh-CN"/>
                    </w:rPr>
                    <w:t>定期</w:t>
                  </w:r>
                  <w:r>
                    <w:rPr>
                      <w:rFonts w:hint="default" w:ascii="Times New Roman" w:hAnsi="Times New Roman" w:cs="Times New Roman" w:eastAsiaTheme="minorEastAsia"/>
                      <w:color w:val="000000"/>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248" w:type="dxa"/>
                  <w:vMerge w:val="continue"/>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p>
              </w:tc>
              <w:tc>
                <w:tcPr>
                  <w:tcW w:w="158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lang w:eastAsia="zh-CN"/>
                    </w:rPr>
                  </w:pPr>
                  <w:r>
                    <w:rPr>
                      <w:rFonts w:hint="default" w:ascii="Times New Roman" w:hAnsi="Times New Roman" w:cs="Times New Roman" w:eastAsiaTheme="minorEastAsia"/>
                      <w:sz w:val="21"/>
                      <w:szCs w:val="21"/>
                      <w:lang w:val="en-US" w:eastAsia="zh-CN"/>
                    </w:rPr>
                    <w:t>废包装</w:t>
                  </w:r>
                </w:p>
              </w:tc>
              <w:tc>
                <w:tcPr>
                  <w:tcW w:w="125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color w:val="000000"/>
                      <w:sz w:val="21"/>
                      <w:szCs w:val="21"/>
                      <w:lang w:val="en-US" w:eastAsia="zh-CN"/>
                    </w:rPr>
                    <w:t>0.05t/a</w:t>
                  </w:r>
                </w:p>
              </w:tc>
              <w:tc>
                <w:tcPr>
                  <w:tcW w:w="13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color w:val="000000"/>
                      <w:sz w:val="21"/>
                      <w:szCs w:val="21"/>
                      <w:lang w:val="en-US" w:eastAsia="zh-CN"/>
                    </w:rPr>
                    <w:t>/</w:t>
                  </w:r>
                </w:p>
              </w:tc>
              <w:tc>
                <w:tcPr>
                  <w:tcW w:w="3327" w:type="dxa"/>
                  <w:vMerge w:val="continue"/>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24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危险废物</w:t>
                  </w:r>
                </w:p>
              </w:tc>
              <w:tc>
                <w:tcPr>
                  <w:tcW w:w="1585"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废活性炭</w:t>
                  </w:r>
                </w:p>
              </w:tc>
              <w:tc>
                <w:tcPr>
                  <w:tcW w:w="1250"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1.5t/a</w:t>
                  </w:r>
                </w:p>
              </w:tc>
              <w:tc>
                <w:tcPr>
                  <w:tcW w:w="1310"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HW49</w:t>
                  </w:r>
                </w:p>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其他废物</w:t>
                  </w:r>
                </w:p>
              </w:tc>
              <w:tc>
                <w:tcPr>
                  <w:tcW w:w="332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设危废暂存间，定期交由资质单位处置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833" w:type="dxa"/>
                  <w:gridSpan w:val="2"/>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生活垃圾</w:t>
                  </w:r>
                </w:p>
              </w:tc>
              <w:tc>
                <w:tcPr>
                  <w:tcW w:w="125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t/a</w:t>
                  </w:r>
                </w:p>
              </w:tc>
              <w:tc>
                <w:tcPr>
                  <w:tcW w:w="13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color w:val="000000"/>
                      <w:sz w:val="21"/>
                      <w:szCs w:val="21"/>
                      <w:lang w:val="en-US" w:eastAsia="zh-CN"/>
                    </w:rPr>
                    <w:t>/</w:t>
                  </w:r>
                </w:p>
              </w:tc>
              <w:tc>
                <w:tcPr>
                  <w:tcW w:w="332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sz w:val="21"/>
                      <w:szCs w:val="21"/>
                      <w:vertAlign w:val="baseline"/>
                    </w:rPr>
                  </w:pPr>
                  <w:r>
                    <w:rPr>
                      <w:rFonts w:hint="default" w:ascii="Times New Roman" w:hAnsi="Times New Roman" w:cs="Times New Roman" w:eastAsiaTheme="minorEastAsia"/>
                      <w:sz w:val="21"/>
                      <w:szCs w:val="21"/>
                    </w:rPr>
                    <w:t>集中收集交由环卫部门处理处置</w:t>
                  </w:r>
                </w:p>
              </w:tc>
            </w:tr>
          </w:tbl>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5"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5839"/>
            <w:bookmarkStart w:id="2" w:name="_Toc22133"/>
            <w:bookmarkStart w:id="3" w:name="_Toc27259"/>
            <w:bookmarkStart w:id="4"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灭菌、解析工序设置“水吸收+活性炭（碘值不低于800mg/g）吸附装置”后由一根24m高排气筒排放（P1），包装封口工序设置“活性炭（碘值不低于800mg/g）吸附装置”后由一根24m高排气筒排放（P1）（与灭菌、解析工序共用环保设施及排气筒）。本项目废气经处理后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（2）废水：本项目水吸收废水循环使用，不外排；生活污水经化粪池处理后定期清掏用于资源化利用，不外排。因此，本项目废水对周围环境影响较小。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（4）固体废物：本项目一般固废在厂区暂存后外售；设置危废暂存间，危险废物在厂区危废暂存间暂存后，定期交由资质单位处置；生活垃圾经收集后由当地环卫部门处置。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default" w:ascii="Times New Roman" w:hAnsi="Times New Roman" w:cs="Times New Roman" w:eastAsiaTheme="minorEastAsia"/>
                <w:sz w:val="24"/>
                <w:szCs w:val="24"/>
                <w:lang w:val="en-US" w:eastAsia="zh-CN"/>
              </w:rPr>
              <w:t>河南省博越医疗器械有限公司年产9.5万件Ⅰ、Ⅱ类卫生材料项目环境影响报告表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》，同意该项目在长垣市张三寨镇医疗器械产业园建设。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二、严格执行环保“三同时”制度，认真落实环评要求及建议，并向社会公众主动公开业经批准的环境影响报告表，并接受相关方的咨询。环评中提及的污染防治措施可以作为该项目污染治理设施设计的依据。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4"/>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3" w:hRule="atLeast"/>
        </w:trPr>
        <w:tc>
          <w:tcPr>
            <w:tcW w:w="8946" w:type="dxa"/>
            <w:vAlign w:val="top"/>
          </w:tcPr>
          <w:p>
            <w:pPr>
              <w:pStyle w:val="6"/>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11</w:t>
            </w:r>
            <w:r>
              <w:rPr>
                <w:rFonts w:hint="default" w:ascii="Times New Roman" w:hAnsi="Times New Roman" w:cs="Times New Roman" w:eastAsiaTheme="minorEastAsia"/>
                <w:b/>
                <w:bCs/>
                <w:color w:val="auto"/>
                <w:kern w:val="2"/>
                <w:sz w:val="21"/>
                <w:szCs w:val="21"/>
                <w:lang w:val="en-US" w:eastAsia="zh-CN" w:bidi="ar-SA"/>
              </w:rPr>
              <w:t xml:space="preserve"> 监测分析方法一览表</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
            <w:tblGrid>
              <w:gridCol w:w="1186"/>
              <w:gridCol w:w="1169"/>
              <w:gridCol w:w="3290"/>
              <w:gridCol w:w="1928"/>
              <w:gridCol w:w="115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684" w:hRule="atLeast"/>
                <w:jc w:val="center"/>
              </w:trPr>
              <w:tc>
                <w:tcPr>
                  <w:tcW w:w="1186"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检测类别</w:t>
                  </w:r>
                </w:p>
              </w:tc>
              <w:tc>
                <w:tcPr>
                  <w:tcW w:w="1169"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检测项目</w:t>
                  </w:r>
                </w:p>
              </w:tc>
              <w:tc>
                <w:tcPr>
                  <w:tcW w:w="3290"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检测标准（方法）</w:t>
                  </w:r>
                </w:p>
              </w:tc>
              <w:tc>
                <w:tcPr>
                  <w:tcW w:w="1928"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检测仪器</w:t>
                  </w:r>
                </w:p>
              </w:tc>
              <w:tc>
                <w:tcPr>
                  <w:tcW w:w="1157"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1120" w:hRule="atLeast"/>
                <w:jc w:val="center"/>
              </w:trPr>
              <w:tc>
                <w:tcPr>
                  <w:tcW w:w="1186" w:type="dxa"/>
                  <w:vMerge w:val="restart"/>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i w:val="0"/>
                      <w:color w:val="auto"/>
                      <w:kern w:val="0"/>
                      <w:sz w:val="21"/>
                      <w:szCs w:val="21"/>
                      <w:highlight w:val="none"/>
                      <w:u w:val="none"/>
                      <w:lang w:val="en-US" w:eastAsia="zh-CN" w:bidi="ar"/>
                    </w:rPr>
                    <w:t>有组织废气</w:t>
                  </w:r>
                </w:p>
              </w:tc>
              <w:tc>
                <w:tcPr>
                  <w:tcW w:w="116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废气流量</w:t>
                  </w:r>
                </w:p>
              </w:tc>
              <w:tc>
                <w:tcPr>
                  <w:tcW w:w="3290"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kern w:val="0"/>
                      <w:sz w:val="21"/>
                      <w:szCs w:val="21"/>
                      <w:lang w:val="en-US" w:eastAsia="zh-CN" w:bidi="ar"/>
                    </w:rPr>
                    <w:t>固定污染源排气中颗粒物测定与气态污染物采样方法 （7 排气流速、流量的测定）GB/T 16157-1996及修改单</w:t>
                  </w:r>
                </w:p>
              </w:tc>
              <w:tc>
                <w:tcPr>
                  <w:tcW w:w="1928" w:type="dxa"/>
                  <w:tcBorders>
                    <w:tl2br w:val="nil"/>
                    <w:tr2bl w:val="nil"/>
                  </w:tcBorders>
                  <w:vAlign w:val="center"/>
                </w:tcPr>
                <w:p>
                  <w:pPr>
                    <w:keepNext w:val="0"/>
                    <w:keepLines w:val="0"/>
                    <w:pageBreakBefore w:val="0"/>
                    <w:widowControl w:val="0"/>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val="en-US" w:eastAsia="zh-CN" w:bidi="ar"/>
                    </w:rPr>
                    <w:t>低浓度自动烟尘烟气综合测试仪ZR-3260D</w:t>
                  </w:r>
                </w:p>
                <w:p>
                  <w:pPr>
                    <w:keepNext w:val="0"/>
                    <w:keepLines w:val="0"/>
                    <w:pageBreakBefore w:val="0"/>
                    <w:widowControl w:val="0"/>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kern w:val="0"/>
                      <w:sz w:val="21"/>
                      <w:szCs w:val="21"/>
                      <w:lang w:val="en-US" w:eastAsia="zh-CN" w:bidi="ar"/>
                    </w:rPr>
                    <w:t>（DSYQ-W007-5）</w:t>
                  </w:r>
                </w:p>
              </w:tc>
              <w:tc>
                <w:tcPr>
                  <w:tcW w:w="1157" w:type="dxa"/>
                  <w:tcBorders>
                    <w:tl2br w:val="nil"/>
                    <w:tr2bl w:val="nil"/>
                  </w:tcBorders>
                  <w:vAlign w:val="center"/>
                </w:tcPr>
                <w:p>
                  <w:pPr>
                    <w:keepNext w:val="0"/>
                    <w:keepLines w:val="0"/>
                    <w:pageBreakBefore w:val="0"/>
                    <w:widowControl w:val="0"/>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800" w:hRule="atLeast"/>
                <w:jc w:val="center"/>
              </w:trPr>
              <w:tc>
                <w:tcPr>
                  <w:tcW w:w="1186" w:type="dxa"/>
                  <w:vMerge w:val="continue"/>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u w:val="none"/>
                      <w:lang w:val="en-US" w:eastAsia="zh-CN" w:bidi="ar"/>
                    </w:rPr>
                  </w:pPr>
                </w:p>
              </w:tc>
              <w:tc>
                <w:tcPr>
                  <w:tcW w:w="1169"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
                    </w:rPr>
                    <w:t>非甲烷总烃</w:t>
                  </w:r>
                </w:p>
              </w:tc>
              <w:tc>
                <w:tcPr>
                  <w:tcW w:w="329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kern w:val="0"/>
                      <w:sz w:val="21"/>
                      <w:szCs w:val="21"/>
                      <w:lang w:val="en-US" w:eastAsia="zh-CN" w:bidi="ar"/>
                    </w:rPr>
                    <w:t>固定污染源废气 总烃、甲烷和非甲烷总烃的测定 气相色谱法 HJ 38-2017</w:t>
                  </w:r>
                </w:p>
              </w:tc>
              <w:tc>
                <w:tcPr>
                  <w:tcW w:w="192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（DSYQ-N003-3）</w:t>
                  </w:r>
                </w:p>
              </w:tc>
              <w:tc>
                <w:tcPr>
                  <w:tcW w:w="115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i w:val="0"/>
                      <w:color w:val="auto"/>
                      <w:kern w:val="0"/>
                      <w:sz w:val="21"/>
                      <w:szCs w:val="21"/>
                      <w:lang w:val="en-US" w:eastAsia="zh-CN" w:bidi="ar"/>
                    </w:rPr>
                    <w:t>0.07mg/m</w:t>
                  </w:r>
                  <w:r>
                    <w:rPr>
                      <w:rStyle w:val="44"/>
                      <w:rFonts w:hint="default" w:ascii="Times New Roman" w:hAnsi="Times New Roman" w:cs="Times New Roman" w:eastAsiaTheme="minorEastAsia"/>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846" w:hRule="atLeast"/>
                <w:jc w:val="center"/>
              </w:trPr>
              <w:tc>
                <w:tcPr>
                  <w:tcW w:w="1186"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i w:val="0"/>
                      <w:color w:val="auto"/>
                      <w:kern w:val="0"/>
                      <w:sz w:val="21"/>
                      <w:szCs w:val="21"/>
                      <w:highlight w:val="none"/>
                      <w:u w:val="none"/>
                      <w:lang w:val="en-US" w:eastAsia="zh-CN" w:bidi="ar"/>
                    </w:rPr>
                    <w:t>无组织废气</w:t>
                  </w:r>
                </w:p>
              </w:tc>
              <w:tc>
                <w:tcPr>
                  <w:tcW w:w="116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
                    </w:rPr>
                    <w:t>非甲烷总烃</w:t>
                  </w:r>
                </w:p>
              </w:tc>
              <w:tc>
                <w:tcPr>
                  <w:tcW w:w="329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lang w:val="en-US" w:eastAsia="zh-CN" w:bidi="ar"/>
                    </w:rPr>
                    <w:t>环境空气 总烃、甲烷和非甲烷总烃的测定 直接进样-气相色谱法</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kern w:val="0"/>
                      <w:sz w:val="21"/>
                      <w:szCs w:val="21"/>
                      <w:lang w:val="en-US" w:eastAsia="zh-CN" w:bidi="ar"/>
                    </w:rPr>
                    <w:t>HJ 604-2017</w:t>
                  </w:r>
                </w:p>
              </w:tc>
              <w:tc>
                <w:tcPr>
                  <w:tcW w:w="192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（DSYQ-N003-3）</w:t>
                  </w:r>
                </w:p>
              </w:tc>
              <w:tc>
                <w:tcPr>
                  <w:tcW w:w="115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i w:val="0"/>
                      <w:color w:val="auto"/>
                      <w:kern w:val="0"/>
                      <w:sz w:val="21"/>
                      <w:szCs w:val="21"/>
                      <w:lang w:val="en-US" w:eastAsia="zh-CN" w:bidi="ar"/>
                    </w:rPr>
                    <w:t>0.07mg/m</w:t>
                  </w:r>
                  <w:r>
                    <w:rPr>
                      <w:rStyle w:val="44"/>
                      <w:rFonts w:hint="default" w:ascii="Times New Roman" w:hAnsi="Times New Roman" w:cs="Times New Roman" w:eastAsiaTheme="minorEastAsia"/>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854" w:hRule="atLeast"/>
                <w:jc w:val="center"/>
              </w:trPr>
              <w:tc>
                <w:tcPr>
                  <w:tcW w:w="1186"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i w:val="0"/>
                      <w:color w:val="auto"/>
                      <w:kern w:val="0"/>
                      <w:sz w:val="21"/>
                      <w:szCs w:val="21"/>
                      <w:highlight w:val="none"/>
                      <w:u w:val="none"/>
                      <w:lang w:val="en-US" w:eastAsia="zh-CN" w:bidi="ar"/>
                    </w:rPr>
                    <w:t>噪声</w:t>
                  </w:r>
                </w:p>
              </w:tc>
              <w:tc>
                <w:tcPr>
                  <w:tcW w:w="1169"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auto"/>
                      <w:sz w:val="21"/>
                      <w:szCs w:val="21"/>
                      <w:highlight w:val="none"/>
                    </w:rPr>
                    <w:t>等效声级</w:t>
                  </w:r>
                </w:p>
              </w:tc>
              <w:tc>
                <w:tcPr>
                  <w:tcW w:w="3290"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rPr>
                    <w:t>工业企业厂界环境噪声排放标准 GB 12348-2008</w:t>
                  </w:r>
                </w:p>
              </w:tc>
              <w:tc>
                <w:tcPr>
                  <w:tcW w:w="1928"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多功能声级计 AWA5688</w:t>
                  </w:r>
                </w:p>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rPr>
                    <w:t>（DSYQ-W001-3）</w:t>
                  </w:r>
                </w:p>
              </w:tc>
              <w:tc>
                <w:tcPr>
                  <w:tcW w:w="1157"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rPr>
                    <w:t>/</w:t>
                  </w:r>
                </w:p>
              </w:tc>
            </w:tr>
          </w:tbl>
          <w:p>
            <w:pPr>
              <w:pStyle w:val="3"/>
              <w:rPr>
                <w:rFonts w:hint="default" w:ascii="Times New Roman" w:hAnsi="Times New Roman" w:cs="Times New Roman"/>
              </w:rPr>
            </w:pPr>
          </w:p>
        </w:tc>
      </w:tr>
    </w:tbl>
    <w:p>
      <w:pPr>
        <w:spacing w:line="360" w:lineRule="auto"/>
        <w:rPr>
          <w:rFonts w:hint="default" w:ascii="Times New Roman" w:hAnsi="Times New Roman" w:cs="Times New Roman" w:eastAsiaTheme="minorEastAsia"/>
          <w:color w:val="000000"/>
          <w:sz w:val="21"/>
          <w:szCs w:val="21"/>
        </w:rPr>
        <w:sectPr>
          <w:headerReference r:id="rId4" w:type="default"/>
          <w:footerReference r:id="rId5"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4"/>
        <w:tblpPr w:leftFromText="180" w:rightFromText="180" w:vertAnchor="text" w:tblpXSpec="center" w:tblpY="1"/>
        <w:tblOverlap w:val="never"/>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46" w:type="dxa"/>
            <w:vAlign w:val="center"/>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5"/>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不涉及废水监测。</w:t>
            </w:r>
          </w:p>
          <w:p>
            <w:pPr>
              <w:pStyle w:val="5"/>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本项目废气监测包括有组织废气监测和无组织废气，监测内容详见下表。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12</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废气检测内容一览表</w:t>
            </w:r>
          </w:p>
          <w:tbl>
            <w:tblPr>
              <w:tblStyle w:val="2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60"/>
              <w:gridCol w:w="1468"/>
              <w:gridCol w:w="1093"/>
              <w:gridCol w:w="1043"/>
              <w:gridCol w:w="3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67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监测类别</w:t>
                  </w:r>
                </w:p>
              </w:tc>
              <w:tc>
                <w:tcPr>
                  <w:tcW w:w="96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排放源</w:t>
                  </w:r>
                </w:p>
              </w:tc>
              <w:tc>
                <w:tcPr>
                  <w:tcW w:w="146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监测点位</w:t>
                  </w:r>
                </w:p>
              </w:tc>
              <w:tc>
                <w:tcPr>
                  <w:tcW w:w="109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监测因子</w:t>
                  </w:r>
                </w:p>
              </w:tc>
              <w:tc>
                <w:tcPr>
                  <w:tcW w:w="104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监测频次</w:t>
                  </w:r>
                </w:p>
              </w:tc>
              <w:tc>
                <w:tcPr>
                  <w:tcW w:w="347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FF0000"/>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677"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有组织废气</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b w:val="0"/>
                      <w:bCs w:val="0"/>
                      <w:color w:val="000000"/>
                      <w:sz w:val="21"/>
                      <w:szCs w:val="21"/>
                      <w:u w:val="none"/>
                      <w:lang w:val="en-US" w:eastAsia="zh-CN"/>
                    </w:rPr>
                    <w:t>灭菌解析废气</w:t>
                  </w:r>
                </w:p>
              </w:tc>
              <w:tc>
                <w:tcPr>
                  <w:tcW w:w="14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废气治理设施（</w:t>
                  </w:r>
                  <w:r>
                    <w:rPr>
                      <w:rFonts w:hint="default" w:ascii="Times New Roman" w:hAnsi="Times New Roman" w:eastAsia="新宋体" w:cs="Times New Roman"/>
                      <w:b w:val="0"/>
                      <w:bCs w:val="0"/>
                      <w:color w:val="000000"/>
                      <w:sz w:val="21"/>
                      <w:szCs w:val="21"/>
                      <w:u w:val="none"/>
                      <w:lang w:val="en-US" w:eastAsia="zh-CN"/>
                    </w:rPr>
                    <w:t>喷淋塔+活性炭</w:t>
                  </w:r>
                  <w:r>
                    <w:rPr>
                      <w:rFonts w:hint="default" w:ascii="Times New Roman" w:hAnsi="Times New Roman" w:eastAsia="新宋体" w:cs="Times New Roman"/>
                      <w:color w:val="auto"/>
                      <w:sz w:val="21"/>
                      <w:szCs w:val="21"/>
                      <w:vertAlign w:val="baseline"/>
                      <w:lang w:val="en-US" w:eastAsia="zh-CN"/>
                    </w:rPr>
                    <w:t>）</w:t>
                  </w:r>
                </w:p>
              </w:tc>
              <w:tc>
                <w:tcPr>
                  <w:tcW w:w="109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kern w:val="0"/>
                      <w:sz w:val="21"/>
                      <w:szCs w:val="21"/>
                      <w:lang w:eastAsia="zh-CN"/>
                    </w:rPr>
                  </w:pPr>
                  <w:r>
                    <w:rPr>
                      <w:rFonts w:hint="default" w:ascii="Times New Roman" w:hAnsi="Times New Roman" w:eastAsia="新宋体" w:cs="Times New Roman"/>
                      <w:color w:val="auto"/>
                      <w:kern w:val="0"/>
                      <w:sz w:val="21"/>
                      <w:szCs w:val="21"/>
                      <w:lang w:eastAsia="zh-CN"/>
                    </w:rPr>
                    <w:t>非甲烷总烃</w:t>
                  </w:r>
                </w:p>
              </w:tc>
              <w:tc>
                <w:tcPr>
                  <w:tcW w:w="104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每天监测3次</w:t>
                  </w:r>
                </w:p>
              </w:tc>
              <w:tc>
                <w:tcPr>
                  <w:tcW w:w="347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000000"/>
                      <w:sz w:val="21"/>
                      <w:szCs w:val="21"/>
                      <w:vertAlign w:val="baseline"/>
                      <w:lang w:val="en-US" w:eastAsia="zh-CN"/>
                    </w:rPr>
                  </w:pPr>
                  <w:r>
                    <w:rPr>
                      <w:rFonts w:hint="default" w:ascii="Times New Roman" w:hAnsi="Times New Roman" w:eastAsia="新宋体" w:cs="Times New Roman"/>
                      <w:color w:val="000000"/>
                      <w:sz w:val="21"/>
                      <w:szCs w:val="21"/>
                      <w:vertAlign w:val="baseline"/>
                      <w:lang w:val="en-US" w:eastAsia="zh-CN"/>
                    </w:rPr>
                    <w:t>《关于全省开展工业企业挥发性有机物专项治理工作中排放建议值的通知》（豫环攻坚办[2017]162号）（医药制造工业：60mg/m</w:t>
                  </w:r>
                  <w:r>
                    <w:rPr>
                      <w:rFonts w:hint="default" w:ascii="Times New Roman" w:hAnsi="Times New Roman" w:eastAsia="新宋体" w:cs="Times New Roman"/>
                      <w:color w:val="000000"/>
                      <w:sz w:val="21"/>
                      <w:szCs w:val="21"/>
                      <w:vertAlign w:val="superscript"/>
                      <w:lang w:val="en-US" w:eastAsia="zh-CN"/>
                    </w:rPr>
                    <w:t>3</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000000"/>
                      <w:sz w:val="21"/>
                      <w:szCs w:val="21"/>
                      <w:vertAlign w:val="baseline"/>
                      <w:lang w:val="en-US" w:eastAsia="zh-CN"/>
                    </w:rPr>
                    <w:t>（建议去除率90%））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677"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b w:val="0"/>
                      <w:bCs w:val="0"/>
                      <w:color w:val="000000"/>
                      <w:sz w:val="21"/>
                      <w:szCs w:val="21"/>
                      <w:u w:val="none"/>
                      <w:lang w:val="en-US" w:eastAsia="zh-CN"/>
                    </w:rPr>
                  </w:pPr>
                  <w:r>
                    <w:rPr>
                      <w:rFonts w:hint="default" w:ascii="Times New Roman" w:hAnsi="Times New Roman" w:eastAsia="新宋体" w:cs="Times New Roman"/>
                      <w:b w:val="0"/>
                      <w:bCs w:val="0"/>
                      <w:color w:val="000000"/>
                      <w:kern w:val="0"/>
                      <w:sz w:val="21"/>
                      <w:szCs w:val="21"/>
                      <w:u w:val="none"/>
                      <w:lang w:val="en-US" w:eastAsia="zh-CN"/>
                    </w:rPr>
                    <w:t>包装封口废气</w:t>
                  </w:r>
                </w:p>
              </w:tc>
              <w:tc>
                <w:tcPr>
                  <w:tcW w:w="14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废气治理设施</w:t>
                  </w:r>
                  <w:r>
                    <w:rPr>
                      <w:rFonts w:hint="eastAsia" w:ascii="Times New Roman" w:hAnsi="Times New Roman" w:eastAsia="新宋体" w:cs="Times New Roman"/>
                      <w:color w:val="auto"/>
                      <w:sz w:val="21"/>
                      <w:szCs w:val="21"/>
                      <w:vertAlign w:val="baseline"/>
                      <w:lang w:val="en-US" w:eastAsia="zh-CN"/>
                    </w:rPr>
                    <w:t>（</w:t>
                  </w:r>
                  <w:r>
                    <w:rPr>
                      <w:rFonts w:hint="default" w:ascii="Times New Roman" w:hAnsi="Times New Roman" w:eastAsia="新宋体" w:cs="Times New Roman"/>
                      <w:b w:val="0"/>
                      <w:bCs w:val="0"/>
                      <w:color w:val="000000"/>
                      <w:sz w:val="21"/>
                      <w:szCs w:val="21"/>
                      <w:u w:val="none"/>
                      <w:lang w:val="en-US" w:eastAsia="zh-CN"/>
                    </w:rPr>
                    <w:t>活性炭</w:t>
                  </w:r>
                  <w:r>
                    <w:rPr>
                      <w:rFonts w:hint="eastAsia" w:ascii="Times New Roman" w:hAnsi="Times New Roman" w:eastAsia="新宋体" w:cs="Times New Roman"/>
                      <w:b w:val="0"/>
                      <w:bCs w:val="0"/>
                      <w:color w:val="000000"/>
                      <w:sz w:val="21"/>
                      <w:szCs w:val="21"/>
                      <w:u w:val="none"/>
                      <w:lang w:val="en-US" w:eastAsia="zh-CN"/>
                    </w:rPr>
                    <w:t>吸附</w:t>
                  </w:r>
                  <w:r>
                    <w:rPr>
                      <w:rFonts w:hint="default" w:ascii="Times New Roman" w:hAnsi="Times New Roman" w:eastAsia="新宋体" w:cs="Times New Roman"/>
                      <w:color w:val="auto"/>
                      <w:sz w:val="21"/>
                      <w:szCs w:val="21"/>
                      <w:vertAlign w:val="baseline"/>
                      <w:lang w:val="en-US" w:eastAsia="zh-CN"/>
                    </w:rPr>
                    <w:t>）</w:t>
                  </w:r>
                </w:p>
              </w:tc>
              <w:tc>
                <w:tcPr>
                  <w:tcW w:w="109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kern w:val="0"/>
                      <w:sz w:val="21"/>
                      <w:szCs w:val="21"/>
                      <w:lang w:val="en-US" w:eastAsia="zh-CN"/>
                    </w:rPr>
                  </w:pPr>
                  <w:r>
                    <w:rPr>
                      <w:rFonts w:hint="default" w:ascii="Times New Roman" w:hAnsi="Times New Roman" w:eastAsia="新宋体" w:cs="Times New Roman"/>
                      <w:color w:val="auto"/>
                      <w:kern w:val="0"/>
                      <w:sz w:val="21"/>
                      <w:szCs w:val="21"/>
                      <w:lang w:eastAsia="zh-CN"/>
                    </w:rPr>
                    <w:t>非甲烷总烃</w:t>
                  </w:r>
                </w:p>
              </w:tc>
              <w:tc>
                <w:tcPr>
                  <w:tcW w:w="104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p>
              </w:tc>
              <w:tc>
                <w:tcPr>
                  <w:tcW w:w="3479" w:type="dxa"/>
                  <w:vMerge w:val="continue"/>
                  <w:tcBorders/>
                  <w:vAlign w:val="center"/>
                </w:tcPr>
                <w:p>
                  <w:pPr>
                    <w:keepNext w:val="0"/>
                    <w:keepLines w:val="0"/>
                    <w:pageBreakBefore w:val="0"/>
                    <w:widowControl w:val="0"/>
                    <w:kinsoku/>
                    <w:wordWrap/>
                    <w:overflowPunct/>
                    <w:topLinePunct w:val="0"/>
                    <w:autoSpaceDE/>
                    <w:autoSpaceDN/>
                    <w:bidi w:val="0"/>
                    <w:snapToGrid w:val="0"/>
                    <w:spacing w:after="0" w:afterLines="0" w:line="240" w:lineRule="auto"/>
                    <w:ind w:left="-110" w:leftChars="-50" w:right="-110" w:rightChars="-50" w:firstLine="0" w:firstLineChars="0"/>
                    <w:jc w:val="center"/>
                    <w:textAlignment w:val="auto"/>
                    <w:rPr>
                      <w:rFonts w:hint="default" w:ascii="Times New Roman" w:hAnsi="Times New Roman" w:eastAsia="新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677"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无组织废气</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w:t>
                  </w:r>
                </w:p>
              </w:tc>
              <w:tc>
                <w:tcPr>
                  <w:tcW w:w="14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厂界外上风向设置一个点位、下风向设置3个点位</w:t>
                  </w:r>
                </w:p>
              </w:tc>
              <w:tc>
                <w:tcPr>
                  <w:tcW w:w="109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kern w:val="0"/>
                      <w:sz w:val="21"/>
                      <w:szCs w:val="21"/>
                      <w:lang w:eastAsia="zh-CN"/>
                    </w:rPr>
                  </w:pPr>
                  <w:r>
                    <w:rPr>
                      <w:rFonts w:hint="default" w:ascii="Times New Roman" w:hAnsi="Times New Roman" w:eastAsia="新宋体" w:cs="Times New Roman"/>
                      <w:color w:val="auto"/>
                      <w:kern w:val="0"/>
                      <w:sz w:val="21"/>
                      <w:szCs w:val="21"/>
                      <w:lang w:eastAsia="zh-CN"/>
                    </w:rPr>
                    <w:t>非甲烷总烃</w:t>
                  </w:r>
                </w:p>
              </w:tc>
              <w:tc>
                <w:tcPr>
                  <w:tcW w:w="1043"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auto"/>
                      <w:sz w:val="21"/>
                      <w:szCs w:val="21"/>
                      <w:vertAlign w:val="baseline"/>
                      <w:lang w:val="en-US" w:eastAsia="zh-CN"/>
                    </w:rPr>
                    <w:t>每天监测3次</w:t>
                  </w:r>
                </w:p>
              </w:tc>
              <w:tc>
                <w:tcPr>
                  <w:tcW w:w="347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新宋体" w:cs="Times New Roman"/>
                      <w:color w:val="auto"/>
                      <w:sz w:val="21"/>
                      <w:szCs w:val="21"/>
                      <w:vertAlign w:val="baseline"/>
                      <w:lang w:val="en-US" w:eastAsia="zh-CN"/>
                    </w:rPr>
                  </w:pPr>
                  <w:r>
                    <w:rPr>
                      <w:rFonts w:hint="default" w:ascii="Times New Roman" w:hAnsi="Times New Roman" w:eastAsia="新宋体" w:cs="Times New Roman"/>
                      <w:color w:val="000000"/>
                      <w:sz w:val="21"/>
                      <w:szCs w:val="21"/>
                      <w:vertAlign w:val="baseline"/>
                      <w:lang w:val="en-US" w:eastAsia="zh-CN"/>
                    </w:rPr>
                    <w:t>《关于全省开展工业企业挥发性有机物专项治理工作中排放建议值的通知》（豫环攻坚办[2017]162号）非甲烷总烃2.0</w:t>
                  </w:r>
                  <w:r>
                    <w:rPr>
                      <w:rFonts w:hint="default" w:ascii="Times New Roman" w:hAnsi="Times New Roman" w:eastAsia="新宋体" w:cs="Times New Roman"/>
                      <w:color w:val="auto"/>
                      <w:sz w:val="21"/>
                      <w:szCs w:val="21"/>
                      <w:vertAlign w:val="baseline"/>
                      <w:lang w:val="en-US" w:eastAsia="zh-CN"/>
                    </w:rPr>
                    <w:t>mg/m</w:t>
                  </w:r>
                  <w:r>
                    <w:rPr>
                      <w:rFonts w:hint="default" w:ascii="Times New Roman" w:hAnsi="Times New Roman" w:eastAsia="新宋体" w:cs="Times New Roman"/>
                      <w:color w:val="auto"/>
                      <w:sz w:val="21"/>
                      <w:szCs w:val="21"/>
                      <w:vertAlign w:val="superscript"/>
                      <w:lang w:val="en-US" w:eastAsia="zh-CN"/>
                    </w:rPr>
                    <w:t>3</w:t>
                  </w:r>
                </w:p>
              </w:tc>
            </w:tr>
          </w:tbl>
          <w:p>
            <w:pPr>
              <w:pStyle w:val="5"/>
              <w:pageBreakBefore w:val="0"/>
              <w:widowControl/>
              <w:numPr>
                <w:ilvl w:val="0"/>
                <w:numId w:val="2"/>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13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25"/>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827"/>
              <w:gridCol w:w="1928"/>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82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92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329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w:t>
                  </w:r>
                </w:p>
              </w:tc>
              <w:tc>
                <w:tcPr>
                  <w:tcW w:w="182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厂界四周</w:t>
                  </w:r>
                </w:p>
              </w:tc>
              <w:tc>
                <w:tcPr>
                  <w:tcW w:w="1928"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连续等效A声级</w:t>
                  </w:r>
                </w:p>
              </w:tc>
              <w:tc>
                <w:tcPr>
                  <w:tcW w:w="329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连续监测2天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每天昼夜各监测1次</w:t>
                  </w:r>
                </w:p>
              </w:tc>
            </w:tr>
          </w:tbl>
          <w:p>
            <w:pPr>
              <w:pStyle w:val="5"/>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6"/>
              <w:spacing w:before="62" w:beforeLines="20" w:line="360" w:lineRule="auto"/>
              <w:ind w:left="0" w:leftChars="0" w:firstLine="0" w:firstLineChars="0"/>
              <w:rPr>
                <w:rFonts w:hint="default" w:ascii="Times New Roman" w:hAnsi="Times New Roman" w:eastAsia="仿宋_GB2312" w:cs="Times New Roman"/>
                <w:color w:val="FF0000"/>
                <w:szCs w:val="21"/>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946"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现场检测期间，该企业工况稳定，生产负荷满足验收监测工况的要求</w:t>
            </w:r>
          </w:p>
          <w:p>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sz w:val="24"/>
                <w:szCs w:val="24"/>
                <w:lang w:val="en-US" w:eastAsia="zh-CN"/>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本项目有组织废气检测结果见</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14   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5"/>
              <w:gridCol w:w="1164"/>
              <w:gridCol w:w="648"/>
              <w:gridCol w:w="640"/>
              <w:gridCol w:w="745"/>
              <w:gridCol w:w="1342"/>
              <w:gridCol w:w="1343"/>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036" w:hRule="atLeast"/>
                <w:jc w:val="center"/>
              </w:trPr>
              <w:tc>
                <w:tcPr>
                  <w:tcW w:w="16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设备名称</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rPr>
                    <w:t>采样时间</w:t>
                  </w:r>
                </w:p>
              </w:tc>
              <w:tc>
                <w:tcPr>
                  <w:tcW w:w="6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rPr>
                    <w:t>周期</w:t>
                  </w:r>
                </w:p>
              </w:tc>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点位</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rPr>
                    <w:t>频次</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废气流量</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标m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/h</w:t>
                  </w:r>
                  <w:r>
                    <w:rPr>
                      <w:rFonts w:hint="default" w:ascii="Times New Roman" w:hAnsi="Times New Roman" w:cs="Times New Roman" w:eastAsiaTheme="minorEastAsia"/>
                      <w:color w:val="auto"/>
                      <w:sz w:val="21"/>
                      <w:szCs w:val="21"/>
                      <w:highlight w:val="none"/>
                      <w:lang w:eastAsia="zh-CN"/>
                    </w:rPr>
                    <w:t>）</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非甲烷总烃</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浓度</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eastAsia="zh-CN"/>
                    </w:rPr>
                    <w:t>（</w:t>
                  </w:r>
                  <w:r>
                    <w:rPr>
                      <w:rFonts w:hint="default" w:ascii="Times New Roman" w:hAnsi="Times New Roman" w:cs="Times New Roman" w:eastAsiaTheme="minorEastAsia"/>
                      <w:b w:val="0"/>
                      <w:bCs w:val="0"/>
                      <w:color w:val="auto"/>
                      <w:sz w:val="21"/>
                      <w:szCs w:val="21"/>
                      <w:highlight w:val="none"/>
                    </w:rPr>
                    <w:t>mg/m</w:t>
                  </w:r>
                  <w:r>
                    <w:rPr>
                      <w:rFonts w:hint="default" w:ascii="Times New Roman" w:hAnsi="Times New Roman" w:cs="Times New Roman" w:eastAsiaTheme="minorEastAsia"/>
                      <w:b w:val="0"/>
                      <w:bCs w:val="0"/>
                      <w:color w:val="auto"/>
                      <w:sz w:val="21"/>
                      <w:szCs w:val="21"/>
                      <w:highlight w:val="none"/>
                      <w:vertAlign w:val="superscript"/>
                    </w:rPr>
                    <w:t>3</w:t>
                  </w:r>
                  <w:r>
                    <w:rPr>
                      <w:rFonts w:hint="default" w:ascii="Times New Roman" w:hAnsi="Times New Roman" w:cs="Times New Roman" w:eastAsiaTheme="minorEastAsia"/>
                      <w:b w:val="0"/>
                      <w:bCs w:val="0"/>
                      <w:color w:val="auto"/>
                      <w:sz w:val="21"/>
                      <w:szCs w:val="21"/>
                      <w:highlight w:val="none"/>
                      <w:lang w:eastAsia="zh-CN"/>
                    </w:rPr>
                    <w:t>）</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kern w:val="0"/>
                      <w:sz w:val="21"/>
                      <w:szCs w:val="21"/>
                      <w:highlight w:val="none"/>
                      <w:lang w:val="en-US" w:eastAsia="zh-CN"/>
                    </w:rPr>
                  </w:pPr>
                  <w:r>
                    <w:rPr>
                      <w:rFonts w:hint="default" w:ascii="Times New Roman" w:hAnsi="Times New Roman" w:cs="Times New Roman" w:eastAsiaTheme="minorEastAsia"/>
                      <w:bCs/>
                      <w:color w:val="auto"/>
                      <w:kern w:val="0"/>
                      <w:sz w:val="21"/>
                      <w:szCs w:val="21"/>
                      <w:highlight w:val="none"/>
                      <w:lang w:val="en-US" w:eastAsia="zh-CN"/>
                    </w:rPr>
                    <w:t>非甲烷总烃</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排放速率</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灭菌、解析</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水喷淋+活性炭</w:t>
                  </w:r>
                </w:p>
              </w:tc>
              <w:tc>
                <w:tcPr>
                  <w:tcW w:w="116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2022.07.07</w:t>
                  </w:r>
                </w:p>
              </w:tc>
              <w:tc>
                <w:tcPr>
                  <w:tcW w:w="64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rPr>
                    <w:t>I</w:t>
                  </w:r>
                </w:p>
              </w:tc>
              <w:tc>
                <w:tcPr>
                  <w:tcW w:w="6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sz w:val="21"/>
                      <w:szCs w:val="21"/>
                      <w:highlight w:val="none"/>
                      <w:lang w:val="en-US"/>
                    </w:rPr>
                    <w:t>进口</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1</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2.87</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45.6</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rPr>
                    <w:t>2</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2.97</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52.3</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rPr>
                    <w:t>3</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2.92</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44.1</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rPr>
                    <w:t>均值</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2.92</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47.3</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rPr>
                    <w:t>出口</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1</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3.03</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23.6</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0.0714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2</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3.13</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25.9</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3</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3.07</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27.1</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0.0832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均值</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3.07</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25.5</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0.0785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sz w:val="21"/>
                      <w:szCs w:val="21"/>
                      <w:highlight w:val="none"/>
                      <w:lang w:val="en-US" w:eastAsia="zh-CN"/>
                    </w:rPr>
                    <w:t>2022.07.08</w:t>
                  </w:r>
                </w:p>
              </w:tc>
              <w:tc>
                <w:tcPr>
                  <w:tcW w:w="64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rPr>
                    <w:t>II</w:t>
                  </w:r>
                </w:p>
              </w:tc>
              <w:tc>
                <w:tcPr>
                  <w:tcW w:w="6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rPr>
                    <w:t>进口</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1</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2.91</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51.4</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2</w:t>
                  </w:r>
                </w:p>
              </w:tc>
              <w:tc>
                <w:tcPr>
                  <w:tcW w:w="13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2.98</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46.3</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3</w:t>
                  </w:r>
                </w:p>
              </w:tc>
              <w:tc>
                <w:tcPr>
                  <w:tcW w:w="13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3.02</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44.8</w:t>
                  </w:r>
                </w:p>
              </w:tc>
              <w:tc>
                <w:tcPr>
                  <w:tcW w:w="121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均值</w:t>
                  </w:r>
                </w:p>
              </w:tc>
              <w:tc>
                <w:tcPr>
                  <w:tcW w:w="13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2.97</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47.5 </w:t>
                  </w:r>
                </w:p>
              </w:tc>
              <w:tc>
                <w:tcPr>
                  <w:tcW w:w="121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rPr>
                    <w:t>出口</w:t>
                  </w: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1</w:t>
                  </w:r>
                </w:p>
              </w:tc>
              <w:tc>
                <w:tcPr>
                  <w:tcW w:w="13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3.13</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24.2</w:t>
                  </w:r>
                </w:p>
              </w:tc>
              <w:tc>
                <w:tcPr>
                  <w:tcW w:w="121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0.0756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2</w:t>
                  </w:r>
                </w:p>
              </w:tc>
              <w:tc>
                <w:tcPr>
                  <w:tcW w:w="13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3.07</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26.5</w:t>
                  </w:r>
                </w:p>
              </w:tc>
              <w:tc>
                <w:tcPr>
                  <w:tcW w:w="121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0.0813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3</w:t>
                  </w:r>
                </w:p>
              </w:tc>
              <w:tc>
                <w:tcPr>
                  <w:tcW w:w="13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3.08</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28.1</w:t>
                  </w:r>
                </w:p>
              </w:tc>
              <w:tc>
                <w:tcPr>
                  <w:tcW w:w="121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0.0867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5" w:hRule="atLeast"/>
                <w:jc w:val="center"/>
              </w:trPr>
              <w:tc>
                <w:tcPr>
                  <w:tcW w:w="162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164"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8"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640"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均值</w:t>
                  </w:r>
                </w:p>
              </w:tc>
              <w:tc>
                <w:tcPr>
                  <w:tcW w:w="13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3.09</w:t>
                  </w: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26.3 </w:t>
                  </w:r>
                </w:p>
              </w:tc>
              <w:tc>
                <w:tcPr>
                  <w:tcW w:w="121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0.0812 </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eastAsia"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根据上述监测结果，本项</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目产生的有组织非甲烷总烃排放浓度在23.6-28.1</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之间</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val="0"/>
                <w:bCs/>
                <w:sz w:val="24"/>
                <w:szCs w:val="24"/>
                <w:lang w:val="en-US" w:eastAsia="zh-CN"/>
              </w:rPr>
              <w:t>无组织排放监测结果；</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表15</w:t>
            </w:r>
            <w:r>
              <w:rPr>
                <w:rFonts w:hint="default" w:ascii="Times New Roman" w:hAnsi="Times New Roman" w:cs="Times New Roman" w:eastAsiaTheme="minorEastAsia"/>
                <w:b/>
                <w:bCs/>
                <w:color w:val="auto"/>
                <w:kern w:val="2"/>
                <w:sz w:val="21"/>
                <w:szCs w:val="21"/>
                <w:lang w:val="en-US" w:eastAsia="zh-CN" w:bidi="ar-SA"/>
              </w:rPr>
              <w:t>无组织</w:t>
            </w:r>
            <w:r>
              <w:rPr>
                <w:rFonts w:hint="eastAsia" w:ascii="Times New Roman" w:hAnsi="Times New Roman" w:cs="Times New Roman" w:eastAsiaTheme="minorEastAsia"/>
                <w:b/>
                <w:bCs/>
                <w:color w:val="auto"/>
                <w:kern w:val="2"/>
                <w:sz w:val="21"/>
                <w:szCs w:val="21"/>
                <w:lang w:val="en-US" w:eastAsia="zh-CN" w:bidi="ar-SA"/>
              </w:rPr>
              <w:t>废气</w:t>
            </w:r>
            <w:r>
              <w:rPr>
                <w:rFonts w:hint="default" w:ascii="Times New Roman" w:hAnsi="Times New Roman" w:cs="Times New Roman" w:eastAsiaTheme="minorEastAsia"/>
                <w:b/>
                <w:bCs/>
                <w:color w:val="auto"/>
                <w:kern w:val="2"/>
                <w:sz w:val="21"/>
                <w:szCs w:val="21"/>
                <w:lang w:val="en-US" w:eastAsia="zh-CN" w:bidi="ar-SA"/>
              </w:rPr>
              <w:t>监测结果      单位：mg/m</w:t>
            </w:r>
            <w:r>
              <w:rPr>
                <w:rFonts w:hint="default" w:ascii="Times New Roman" w:hAnsi="Times New Roman" w:cs="Times New Roman" w:eastAsiaTheme="minorEastAsia"/>
                <w:b/>
                <w:bCs/>
                <w:color w:val="auto"/>
                <w:kern w:val="2"/>
                <w:sz w:val="21"/>
                <w:szCs w:val="21"/>
                <w:vertAlign w:val="superscript"/>
                <w:lang w:val="en-US" w:eastAsia="zh-CN" w:bidi="ar-SA"/>
              </w:rPr>
              <w:t>3</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2852"/>
              <w:gridCol w:w="1850"/>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 w:hRule="atLeast"/>
                <w:jc w:val="center"/>
              </w:trPr>
              <w:tc>
                <w:tcPr>
                  <w:tcW w:w="2175"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采样时间</w:t>
                  </w:r>
                </w:p>
              </w:tc>
              <w:tc>
                <w:tcPr>
                  <w:tcW w:w="2852" w:type="dxa"/>
                  <w:vMerge w:val="restart"/>
                  <w:tcBorders>
                    <w:tl2br w:val="nil"/>
                    <w:tr2bl w:val="nil"/>
                  </w:tcBorders>
                  <w:vAlign w:val="center"/>
                </w:tcPr>
                <w:p>
                  <w:pPr>
                    <w:keepNext w:val="0"/>
                    <w:keepLines w:val="0"/>
                    <w:pageBreakBefore w:val="0"/>
                    <w:widowControl/>
                    <w:tabs>
                      <w:tab w:val="center" w:pos="1440"/>
                    </w:tabs>
                    <w:kinsoku w:val="0"/>
                    <w:wordWrap w:val="0"/>
                    <w:overflowPunct w:val="0"/>
                    <w:topLinePunct/>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采样点位</w:t>
                  </w:r>
                </w:p>
              </w:tc>
              <w:tc>
                <w:tcPr>
                  <w:tcW w:w="3703" w:type="dxa"/>
                  <w:gridSpan w:val="2"/>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非甲烷总烃（</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1"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Merge w:val="continue"/>
                  <w:tcBorders>
                    <w:tl2br w:val="nil"/>
                    <w:tr2bl w:val="nil"/>
                  </w:tcBorders>
                  <w:vAlign w:val="center"/>
                </w:tcPr>
                <w:p>
                  <w:pPr>
                    <w:keepNext w:val="0"/>
                    <w:keepLines w:val="0"/>
                    <w:pageBreakBefore w:val="0"/>
                    <w:widowControl/>
                    <w:tabs>
                      <w:tab w:val="center" w:pos="1440"/>
                    </w:tabs>
                    <w:kinsoku w:val="0"/>
                    <w:wordWrap w:val="0"/>
                    <w:overflowPunct w:val="0"/>
                    <w:topLinePunct/>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1850"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检测浓度</w:t>
                  </w:r>
                </w:p>
              </w:tc>
              <w:tc>
                <w:tcPr>
                  <w:tcW w:w="1853"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厂周界最大</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2022.07.07</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（09</w:t>
                  </w:r>
                  <w:r>
                    <w:rPr>
                      <w:rFonts w:hint="default" w:ascii="Times New Roman" w:hAnsi="Times New Roman" w:cs="Times New Roman" w:eastAsiaTheme="minorEastAsia"/>
                      <w:color w:val="auto"/>
                      <w:sz w:val="21"/>
                      <w:szCs w:val="21"/>
                      <w:lang w:val="en-US" w:eastAsia="zh-CN"/>
                    </w:rPr>
                    <w:t>:00-10:00</w:t>
                  </w:r>
                  <w:r>
                    <w:rPr>
                      <w:rFonts w:hint="default" w:ascii="Times New Roman" w:hAnsi="Times New Roman" w:cs="Times New Roman" w:eastAsiaTheme="minorEastAsia"/>
                      <w:color w:val="auto"/>
                      <w:sz w:val="21"/>
                      <w:szCs w:val="21"/>
                      <w:highlight w:val="none"/>
                      <w:lang w:val="en-US" w:eastAsia="zh-CN"/>
                    </w:rPr>
                    <w:t>）</w:t>
                  </w: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上风向1#</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0.45</w:t>
                  </w:r>
                </w:p>
              </w:tc>
              <w:tc>
                <w:tcPr>
                  <w:tcW w:w="1853" w:type="dxa"/>
                  <w:vMerge w:val="restart"/>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下风向2#</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0.81</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下风向3#</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0.89</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下风向4#</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0.78</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2022.07.07</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（13</w:t>
                  </w:r>
                  <w:r>
                    <w:rPr>
                      <w:rFonts w:hint="default" w:ascii="Times New Roman" w:hAnsi="Times New Roman" w:cs="Times New Roman" w:eastAsiaTheme="minorEastAsia"/>
                      <w:color w:val="auto"/>
                      <w:sz w:val="21"/>
                      <w:szCs w:val="21"/>
                      <w:lang w:val="en-US" w:eastAsia="zh-CN"/>
                    </w:rPr>
                    <w:t>:00-14:00</w:t>
                  </w:r>
                  <w:r>
                    <w:rPr>
                      <w:rFonts w:hint="default" w:ascii="Times New Roman" w:hAnsi="Times New Roman" w:cs="Times New Roman" w:eastAsiaTheme="minorEastAsia"/>
                      <w:color w:val="auto"/>
                      <w:sz w:val="21"/>
                      <w:szCs w:val="21"/>
                      <w:highlight w:val="none"/>
                      <w:lang w:val="en-US" w:eastAsia="zh-CN"/>
                    </w:rPr>
                    <w:t>）</w:t>
                  </w: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上风向1#</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0.52</w:t>
                  </w:r>
                </w:p>
              </w:tc>
              <w:tc>
                <w:tcPr>
                  <w:tcW w:w="1853" w:type="dxa"/>
                  <w:vMerge w:val="restart"/>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下风向2#</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0.86</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下风向3#</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0.96</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下风向4#</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0.84</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2022.07.07</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（17</w:t>
                  </w:r>
                  <w:r>
                    <w:rPr>
                      <w:rFonts w:hint="default" w:ascii="Times New Roman" w:hAnsi="Times New Roman" w:cs="Times New Roman" w:eastAsiaTheme="minorEastAsia"/>
                      <w:color w:val="auto"/>
                      <w:sz w:val="21"/>
                      <w:szCs w:val="21"/>
                      <w:lang w:val="en-US" w:eastAsia="zh-CN"/>
                    </w:rPr>
                    <w:t>:00-18:00</w:t>
                  </w:r>
                  <w:r>
                    <w:rPr>
                      <w:rFonts w:hint="default" w:ascii="Times New Roman" w:hAnsi="Times New Roman" w:cs="Times New Roman" w:eastAsiaTheme="minorEastAsia"/>
                      <w:color w:val="auto"/>
                      <w:sz w:val="21"/>
                      <w:szCs w:val="21"/>
                      <w:highlight w:val="none"/>
                      <w:lang w:val="en-US" w:eastAsia="zh-CN"/>
                    </w:rPr>
                    <w:t>）</w:t>
                  </w: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上风向1#</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0.50</w:t>
                  </w:r>
                </w:p>
              </w:tc>
              <w:tc>
                <w:tcPr>
                  <w:tcW w:w="1853" w:type="dxa"/>
                  <w:vMerge w:val="restart"/>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下风向2#</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0.91</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下风向3#</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0.74</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下风向4#</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0.99</w:t>
                  </w:r>
                </w:p>
              </w:tc>
              <w:tc>
                <w:tcPr>
                  <w:tcW w:w="1853" w:type="dxa"/>
                  <w:vMerge w:val="continue"/>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2022.07.08</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（09</w:t>
                  </w:r>
                  <w:r>
                    <w:rPr>
                      <w:rFonts w:hint="default" w:ascii="Times New Roman" w:hAnsi="Times New Roman" w:cs="Times New Roman" w:eastAsiaTheme="minorEastAsia"/>
                      <w:color w:val="auto"/>
                      <w:sz w:val="21"/>
                      <w:szCs w:val="21"/>
                      <w:lang w:val="en-US" w:eastAsia="zh-CN"/>
                    </w:rPr>
                    <w:t>:00-10:00</w:t>
                  </w:r>
                  <w:r>
                    <w:rPr>
                      <w:rFonts w:hint="default" w:ascii="Times New Roman" w:hAnsi="Times New Roman" w:cs="Times New Roman" w:eastAsiaTheme="minorEastAsia"/>
                      <w:color w:val="auto"/>
                      <w:sz w:val="21"/>
                      <w:szCs w:val="21"/>
                      <w:highlight w:val="none"/>
                      <w:lang w:val="en-US" w:eastAsia="zh-CN"/>
                    </w:rPr>
                    <w:t>）</w:t>
                  </w:r>
                </w:p>
              </w:tc>
              <w:tc>
                <w:tcPr>
                  <w:tcW w:w="285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上风向1#</w:t>
                  </w:r>
                </w:p>
              </w:tc>
              <w:tc>
                <w:tcPr>
                  <w:tcW w:w="1850" w:type="dxa"/>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0.56</w:t>
                  </w:r>
                </w:p>
              </w:tc>
              <w:tc>
                <w:tcPr>
                  <w:tcW w:w="1853" w:type="dxa"/>
                  <w:vMerge w:val="restart"/>
                  <w:tcBorders>
                    <w:tl2br w:val="nil"/>
                    <w:tr2bl w:val="nil"/>
                  </w:tcBorders>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下风向2#</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0.82</w:t>
                  </w:r>
                </w:p>
              </w:tc>
              <w:tc>
                <w:tcPr>
                  <w:tcW w:w="1853" w:type="dxa"/>
                  <w:vMerge w:val="continue"/>
                  <w:vAlign w:val="top"/>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下风向3#</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1.05</w:t>
                  </w:r>
                </w:p>
              </w:tc>
              <w:tc>
                <w:tcPr>
                  <w:tcW w:w="1853" w:type="dxa"/>
                  <w:vMerge w:val="continue"/>
                  <w:vAlign w:val="top"/>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下风向4#</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0.83</w:t>
                  </w:r>
                </w:p>
              </w:tc>
              <w:tc>
                <w:tcPr>
                  <w:tcW w:w="1853" w:type="dxa"/>
                  <w:vMerge w:val="continue"/>
                  <w:vAlign w:val="top"/>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restart"/>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2022.07.08</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（13</w:t>
                  </w:r>
                  <w:r>
                    <w:rPr>
                      <w:rFonts w:hint="default" w:ascii="Times New Roman" w:hAnsi="Times New Roman" w:cs="Times New Roman" w:eastAsiaTheme="minorEastAsia"/>
                      <w:color w:val="auto"/>
                      <w:sz w:val="21"/>
                      <w:szCs w:val="21"/>
                      <w:lang w:val="en-US" w:eastAsia="zh-CN"/>
                    </w:rPr>
                    <w:t>:00-14:00</w:t>
                  </w:r>
                  <w:r>
                    <w:rPr>
                      <w:rFonts w:hint="default" w:ascii="Times New Roman" w:hAnsi="Times New Roman" w:cs="Times New Roman" w:eastAsiaTheme="minorEastAsia"/>
                      <w:color w:val="auto"/>
                      <w:sz w:val="21"/>
                      <w:szCs w:val="21"/>
                      <w:highlight w:val="none"/>
                      <w:lang w:val="en-US" w:eastAsia="zh-CN"/>
                    </w:rPr>
                    <w:t>）</w:t>
                  </w: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上风向1#</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0.44</w:t>
                  </w:r>
                </w:p>
              </w:tc>
              <w:tc>
                <w:tcPr>
                  <w:tcW w:w="1853" w:type="dxa"/>
                  <w:vMerge w:val="restart"/>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下风向2#</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0.73</w:t>
                  </w:r>
                </w:p>
              </w:tc>
              <w:tc>
                <w:tcPr>
                  <w:tcW w:w="1853" w:type="dxa"/>
                  <w:vMerge w:val="continue"/>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下风向3#</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0.92</w:t>
                  </w:r>
                </w:p>
              </w:tc>
              <w:tc>
                <w:tcPr>
                  <w:tcW w:w="1853" w:type="dxa"/>
                  <w:vMerge w:val="continue"/>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下风向4#</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0.80</w:t>
                  </w:r>
                </w:p>
              </w:tc>
              <w:tc>
                <w:tcPr>
                  <w:tcW w:w="1853" w:type="dxa"/>
                  <w:vMerge w:val="continue"/>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restart"/>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2022.07.08</w:t>
                  </w:r>
                </w:p>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（17</w:t>
                  </w:r>
                  <w:r>
                    <w:rPr>
                      <w:rFonts w:hint="default" w:ascii="Times New Roman" w:hAnsi="Times New Roman" w:cs="Times New Roman" w:eastAsiaTheme="minorEastAsia"/>
                      <w:color w:val="auto"/>
                      <w:sz w:val="21"/>
                      <w:szCs w:val="21"/>
                      <w:lang w:val="en-US" w:eastAsia="zh-CN"/>
                    </w:rPr>
                    <w:t>:00-18:00</w:t>
                  </w:r>
                  <w:r>
                    <w:rPr>
                      <w:rFonts w:hint="default" w:ascii="Times New Roman" w:hAnsi="Times New Roman" w:cs="Times New Roman" w:eastAsiaTheme="minorEastAsia"/>
                      <w:color w:val="auto"/>
                      <w:sz w:val="21"/>
                      <w:szCs w:val="21"/>
                      <w:highlight w:val="none"/>
                      <w:lang w:val="en-US" w:eastAsia="zh-CN"/>
                    </w:rPr>
                    <w:t>）</w:t>
                  </w: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上风向1#</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0.50</w:t>
                  </w:r>
                </w:p>
              </w:tc>
              <w:tc>
                <w:tcPr>
                  <w:tcW w:w="1853" w:type="dxa"/>
                  <w:vMerge w:val="restart"/>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下风向2#</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0.95</w:t>
                  </w:r>
                </w:p>
              </w:tc>
              <w:tc>
                <w:tcPr>
                  <w:tcW w:w="1853" w:type="dxa"/>
                  <w:vMerge w:val="continue"/>
                  <w:vAlign w:val="top"/>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下风向3#</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0.81</w:t>
                  </w:r>
                </w:p>
              </w:tc>
              <w:tc>
                <w:tcPr>
                  <w:tcW w:w="1853" w:type="dxa"/>
                  <w:vMerge w:val="continue"/>
                  <w:vAlign w:val="top"/>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2175" w:type="dxa"/>
                  <w:vMerge w:val="continue"/>
                  <w:vAlign w:val="top"/>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rPr>
                  </w:pPr>
                </w:p>
              </w:tc>
              <w:tc>
                <w:tcPr>
                  <w:tcW w:w="2852" w:type="dxa"/>
                  <w:vAlign w:val="center"/>
                </w:tcPr>
                <w:p>
                  <w:pPr>
                    <w:keepNext w:val="0"/>
                    <w:keepLines w:val="0"/>
                    <w:pageBreakBefore w:val="0"/>
                    <w:widowControl/>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下风向4#</w:t>
                  </w:r>
                </w:p>
              </w:tc>
              <w:tc>
                <w:tcPr>
                  <w:tcW w:w="1850" w:type="dxa"/>
                  <w:vAlign w:val="center"/>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bidi="ar-SA"/>
                    </w:rPr>
                    <w:t>0.83</w:t>
                  </w:r>
                </w:p>
              </w:tc>
              <w:tc>
                <w:tcPr>
                  <w:tcW w:w="1853" w:type="dxa"/>
                  <w:vMerge w:val="continue"/>
                  <w:vAlign w:val="top"/>
                </w:tcPr>
                <w:p>
                  <w:pPr>
                    <w:keepNext w:val="0"/>
                    <w:keepLines w:val="0"/>
                    <w:pageBreakBefore w:val="0"/>
                    <w:widowControl/>
                    <w:suppressLineNumbers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根据上述监测结果，本项无组织废气中</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非甲烷总烃排放浓度满足《关于全省开展工业企业挥发性有机物专项治理工作中排放建议值的通知》（豫环攻坚办〔2017〕162号）。</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16</w:t>
            </w:r>
            <w:r>
              <w:rPr>
                <w:rFonts w:hint="default" w:ascii="Times New Roman" w:hAnsi="Times New Roman" w:cs="Times New Roman" w:eastAsiaTheme="minorEastAsia"/>
                <w:b/>
                <w:sz w:val="21"/>
                <w:szCs w:val="21"/>
              </w:rPr>
              <w:t xml:space="preserve"> 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0"/>
              <w:gridCol w:w="1853"/>
              <w:gridCol w:w="3008"/>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采样时间</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采样点位</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  间</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［测量值dB（A）］</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夜</w:t>
                  </w:r>
                  <w:r>
                    <w:rPr>
                      <w:rFonts w:hint="default" w:ascii="Times New Roman" w:hAnsi="Times New Roman" w:eastAsia="宋体" w:cs="Times New Roman"/>
                      <w:color w:val="auto"/>
                      <w:sz w:val="21"/>
                      <w:szCs w:val="21"/>
                      <w:highlight w:val="none"/>
                    </w:rPr>
                    <w:t xml:space="preserve">  间</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2022.07.07</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lang w:val="en-US" w:eastAsia="zh-CN"/>
                    </w:rPr>
                    <w:t>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南厂界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东</w:t>
                  </w:r>
                  <w:r>
                    <w:rPr>
                      <w:rFonts w:hint="eastAsia" w:ascii="Times New Roman" w:hAnsi="Times New Roman" w:eastAsia="宋体" w:cs="Times New Roman"/>
                      <w:color w:val="auto"/>
                      <w:sz w:val="21"/>
                      <w:szCs w:val="21"/>
                      <w:lang w:val="en-US" w:eastAsia="zh-CN"/>
                    </w:rPr>
                    <w:t>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2022.07.08</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lang w:val="en-US" w:eastAsia="zh-CN"/>
                    </w:rPr>
                    <w:t>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南厂界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西厂界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1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东</w:t>
                  </w:r>
                  <w:r>
                    <w:rPr>
                      <w:rFonts w:hint="eastAsia" w:ascii="Times New Roman" w:hAnsi="Times New Roman" w:eastAsia="宋体" w:cs="Times New Roman"/>
                      <w:color w:val="auto"/>
                      <w:sz w:val="21"/>
                      <w:szCs w:val="21"/>
                      <w:lang w:val="en-US" w:eastAsia="zh-CN"/>
                    </w:rPr>
                    <w:t>厂界</w:t>
                  </w:r>
                </w:p>
              </w:tc>
              <w:tc>
                <w:tcPr>
                  <w:tcW w:w="30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270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dB（A）间，能够达到《工业企业厂界环境噪声排放标准》（GB12348-2008）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类标准要求。</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textAlignment w:val="auto"/>
              <w:outlineLvl w:val="9"/>
              <w:rPr>
                <w:rFonts w:hint="default" w:ascii="Times New Roman" w:hAnsi="Times New Roman" w:eastAsia="仿宋_GB2312" w:cs="Times New Roman"/>
                <w:color w:val="FF0000"/>
                <w:sz w:val="21"/>
                <w:szCs w:val="21"/>
                <w:lang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2" w:hRule="atLeast"/>
          <w:jc w:val="center"/>
        </w:trPr>
        <w:tc>
          <w:tcPr>
            <w:tcW w:w="8924"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6"/>
              <w:pageBreakBefore w:val="0"/>
              <w:widowControl/>
              <w:numPr>
                <w:ilvl w:val="0"/>
                <w:numId w:val="4"/>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目产生的有组织非甲烷总烃排放浓度在23.6-28.1</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之间</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vertAlign w:val="baseline"/>
                <w:lang w:val="en-US" w:eastAsia="zh-CN"/>
              </w:rPr>
              <w:t>。</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dB（A）间，能够达到《工业企业厂界环境噪声排放标准》（GB12348-2008）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类标准要求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本项目不涉及废水排放。</w:t>
            </w: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河南省博越医疗器械有限公司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24"/>
        <w:tblW w:w="21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exact"/>
          <w:jc w:val="center"/>
        </w:trPr>
        <w:tc>
          <w:tcPr>
            <w:tcW w:w="697" w:type="dxa"/>
            <w:vMerge w:val="restart"/>
            <w:shd w:val="clear" w:color="auto" w:fill="auto"/>
            <w:textDirection w:val="tbRlV"/>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年产9.5万件Ⅰ、Ⅱ类卫生材料项目</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长垣市张三寨镇医疗器械创业园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C2770卫生材料及医药用品制造</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 xml:space="preserve"> </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 xml:space="preserve">新建  改扩建 </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技术改造</w:t>
            </w:r>
          </w:p>
        </w:tc>
        <w:tc>
          <w:tcPr>
            <w:tcW w:w="2672" w:type="dxa"/>
            <w:gridSpan w:val="3"/>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w:t>
            </w:r>
            <w:r>
              <w:rPr>
                <w:rFonts w:hint="eastAsia" w:ascii="Times New Roman" w:hAnsi="Times New Roman" w:cs="Times New Roman"/>
                <w:b w:val="0"/>
                <w:color w:val="000000" w:themeColor="text1"/>
                <w:lang w:val="en-US" w:eastAsia="zh-CN"/>
                <w14:textFill>
                  <w14:solidFill>
                    <w14:schemeClr w14:val="tx1"/>
                  </w14:solidFill>
                </w14:textFill>
              </w:rPr>
              <w:t>114.772270</w:t>
            </w:r>
          </w:p>
        </w:tc>
        <w:tc>
          <w:tcPr>
            <w:tcW w:w="2754" w:type="dxa"/>
            <w:gridSpan w:val="4"/>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w:t>
            </w:r>
            <w:r>
              <w:rPr>
                <w:rFonts w:hint="eastAsia" w:ascii="Times New Roman" w:hAnsi="Times New Roman" w:cs="Times New Roman"/>
                <w:b w:val="0"/>
                <w:color w:val="000000" w:themeColor="text1"/>
                <w:lang w:val="en-US" w:eastAsia="zh-CN"/>
                <w14:textFill>
                  <w14:solidFill>
                    <w14:schemeClr w14:val="tx1"/>
                  </w14:solidFill>
                </w14:textFill>
              </w:rPr>
              <w:t>35.131437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年产9.5万件Ⅰ、Ⅱ类卫生材料</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pPr>
              <w:pStyle w:val="3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年产9.5万件Ⅰ、Ⅱ类卫生材料</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河北</w:t>
            </w:r>
            <w:r>
              <w:rPr>
                <w:rFonts w:hint="eastAsia" w:ascii="Times New Roman" w:hAnsi="Times New Roman" w:cs="Times New Roman" w:eastAsiaTheme="minorEastAsia"/>
                <w:b w:val="0"/>
                <w:color w:val="auto"/>
                <w:lang w:val="en-US" w:eastAsia="zh-CN"/>
              </w:rPr>
              <w:t>峰青</w:t>
            </w:r>
            <w:r>
              <w:rPr>
                <w:rFonts w:hint="default" w:ascii="Times New Roman" w:hAnsi="Times New Roman" w:cs="Times New Roman" w:eastAsiaTheme="minorEastAsia"/>
                <w:b w:val="0"/>
                <w:color w:val="auto"/>
                <w:lang w:val="en-US" w:eastAsia="zh-CN"/>
              </w:rPr>
              <w:t>环保</w:t>
            </w:r>
            <w:r>
              <w:rPr>
                <w:rFonts w:hint="eastAsia" w:ascii="Times New Roman" w:hAnsi="Times New Roman" w:cs="Times New Roman" w:eastAsiaTheme="minorEastAsia"/>
                <w:b w:val="0"/>
                <w:color w:val="auto"/>
                <w:lang w:val="en-US" w:eastAsia="zh-CN"/>
              </w:rPr>
              <w:t>工程</w:t>
            </w:r>
            <w:r>
              <w:rPr>
                <w:rFonts w:hint="default" w:ascii="Times New Roman" w:hAnsi="Times New Roman" w:cs="Times New Roman" w:eastAsiaTheme="minorEastAsia"/>
                <w:b w:val="0"/>
                <w:color w:val="auto"/>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eastAsia="zh-CN"/>
              </w:rPr>
            </w:pPr>
            <w:r>
              <w:rPr>
                <w:rFonts w:hint="eastAsia" w:ascii="Times New Roman" w:hAnsi="Times New Roman" w:cs="Times New Roman"/>
                <w:b w:val="0"/>
                <w:bCs/>
                <w:color w:val="auto"/>
                <w:sz w:val="18"/>
                <w:szCs w:val="18"/>
                <w:lang w:eastAsia="zh-CN"/>
              </w:rPr>
              <w:t>长垣市生态环境分局</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2021</w:t>
            </w:r>
            <w:r>
              <w:rPr>
                <w:rFonts w:hint="default"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116</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8"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022</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1</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22</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6</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未申领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top"/>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河南省斯科赛斯科技发展有限公司</w:t>
            </w:r>
          </w:p>
        </w:tc>
        <w:tc>
          <w:tcPr>
            <w:tcW w:w="2796"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b w:val="0"/>
                <w:color w:val="auto"/>
                <w:lang w:eastAsia="zh-CN"/>
              </w:rPr>
            </w:pPr>
            <w:r>
              <w:rPr>
                <w:rFonts w:hint="default" w:ascii="Times New Roman" w:hAnsi="Times New Roman" w:eastAsia="微软雅黑" w:cs="Times New Roman"/>
                <w:b w:val="0"/>
                <w:color w:val="auto"/>
                <w:lang w:val="en-US" w:eastAsia="zh-CN"/>
              </w:rPr>
              <w:t>河南</w:t>
            </w:r>
            <w:r>
              <w:rPr>
                <w:rFonts w:hint="eastAsia" w:ascii="Times New Roman" w:hAnsi="Times New Roman" w:cs="Times New Roman"/>
                <w:b w:val="0"/>
                <w:color w:val="auto"/>
                <w:lang w:val="en-US" w:eastAsia="zh-CN"/>
              </w:rPr>
              <w:t>鼎泰</w:t>
            </w:r>
            <w:r>
              <w:rPr>
                <w:rFonts w:hint="default" w:ascii="Times New Roman" w:hAnsi="Times New Roman" w:eastAsia="微软雅黑" w:cs="Times New Roman"/>
                <w:b w:val="0"/>
                <w:color w:val="auto"/>
                <w:lang w:val="en-US" w:eastAsia="zh-CN"/>
              </w:rPr>
              <w:t>检测技术有限公司</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200</w:t>
            </w:r>
          </w:p>
        </w:tc>
        <w:tc>
          <w:tcPr>
            <w:tcW w:w="279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12</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200</w:t>
            </w:r>
          </w:p>
        </w:tc>
        <w:tc>
          <w:tcPr>
            <w:tcW w:w="2796" w:type="dxa"/>
            <w:gridSpan w:val="2"/>
            <w:tcBorders>
              <w:top w:val="single" w:color="auto" w:sz="4" w:space="0"/>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color w:val="auto"/>
                <w:lang w:val="en-US" w:eastAsia="zh-CN"/>
              </w:rPr>
              <w:t>12</w:t>
            </w:r>
          </w:p>
        </w:tc>
        <w:tc>
          <w:tcPr>
            <w:tcW w:w="2087"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color w:val="auto"/>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1701"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1471"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279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color w:val="auto"/>
                <w:lang w:val="en-US" w:eastAsia="zh-CN"/>
              </w:rPr>
              <w:t>/</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97" w:type="dxa"/>
            <w:vMerge w:val="continue"/>
            <w:tcBorders>
              <w:bottom w:val="single" w:color="auto" w:sz="4" w:space="0"/>
            </w:tcBorders>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val="en-US" w:eastAsia="zh-CN"/>
              </w:rPr>
            </w:pPr>
            <w:r>
              <w:rPr>
                <w:rFonts w:hint="eastAsia" w:ascii="Times New Roman" w:hAnsi="Times New Roman" w:cs="Times New Roman"/>
                <w:color w:val="auto"/>
                <w:lang w:val="en-US" w:eastAsia="zh-CN"/>
              </w:rPr>
              <w:t>/</w:t>
            </w:r>
          </w:p>
        </w:tc>
        <w:tc>
          <w:tcPr>
            <w:tcW w:w="279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2400</w:t>
            </w:r>
            <w:r>
              <w:rPr>
                <w:rFonts w:hint="default" w:ascii="Times New Roman" w:hAnsi="Times New Roman" w:cs="Times New Roman"/>
                <w:b w:val="0"/>
                <w:color w:val="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2" w:hRule="atLeast"/>
          <w:jc w:val="center"/>
        </w:trPr>
        <w:tc>
          <w:tcPr>
            <w:tcW w:w="3131" w:type="dxa"/>
            <w:gridSpan w:val="3"/>
            <w:tcBorders>
              <w:top w:val="single" w:color="auto" w:sz="4" w:space="0"/>
              <w:bottom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河南省博越医疗器械有限公司</w:t>
            </w:r>
          </w:p>
        </w:tc>
        <w:tc>
          <w:tcPr>
            <w:tcW w:w="7006" w:type="dxa"/>
            <w:gridSpan w:val="5"/>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br w:type="textWrapping"/>
            </w:r>
            <w:r>
              <w:rPr>
                <w:rFonts w:hint="default" w:ascii="Times New Roman" w:hAnsi="Times New Roman" w:cs="Times New Roman" w:eastAsiaTheme="minorEastAsia"/>
                <w:b w:val="0"/>
                <w:color w:val="auto"/>
                <w:lang w:val="en-US" w:eastAsia="zh-CN"/>
              </w:rPr>
              <w:t>91410728MA452KCC97</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2022年7月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5" w:hRule="atLeast"/>
          <w:jc w:val="center"/>
        </w:trPr>
        <w:tc>
          <w:tcPr>
            <w:tcW w:w="697" w:type="dxa"/>
            <w:vMerge w:val="restart"/>
            <w:tcBorders>
              <w:top w:val="nil"/>
            </w:tcBorders>
            <w:shd w:val="clear" w:color="auto" w:fill="auto"/>
            <w:vAlign w:val="bottom"/>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restart"/>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0.2853</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0.2853</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+0.2853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二甲苯</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4" w:hRule="atLeast"/>
          <w:jc w:val="center"/>
        </w:trPr>
        <w:tc>
          <w:tcPr>
            <w:tcW w:w="697"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0.000</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34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6" w:hRule="atLeast"/>
          <w:jc w:val="center"/>
        </w:trPr>
        <w:tc>
          <w:tcPr>
            <w:tcW w:w="697" w:type="dxa"/>
            <w:vMerge w:val="continue"/>
            <w:shd w:val="clear" w:color="auto" w:fill="auto"/>
            <w:vAlign w:val="top"/>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szCs w:val="15"/>
              </w:rPr>
            </w:pPr>
          </w:p>
        </w:tc>
        <w:tc>
          <w:tcPr>
            <w:tcW w:w="643" w:type="dxa"/>
            <w:vMerge w:val="continue"/>
            <w:shd w:val="clear" w:color="auto" w:fill="auto"/>
            <w:vAlign w:val="top"/>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FF0000"/>
                <w:szCs w:val="15"/>
              </w:rPr>
            </w:pPr>
          </w:p>
        </w:tc>
        <w:tc>
          <w:tcPr>
            <w:tcW w:w="179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FF0000"/>
                <w:lang w:eastAsia="zh-CN"/>
              </w:rPr>
            </w:pPr>
            <w:r>
              <w:rPr>
                <w:rFonts w:hint="eastAsia" w:ascii="Times New Roman" w:hAnsi="Times New Roman" w:cs="Times New Roman"/>
                <w:color w:val="000000" w:themeColor="text1"/>
                <w:lang w:eastAsia="zh-CN"/>
                <w14:textFill>
                  <w14:solidFill>
                    <w14:schemeClr w14:val="tx1"/>
                  </w14:solidFill>
                </w14:textFill>
              </w:rPr>
              <w:t>总氮</w:t>
            </w:r>
          </w:p>
        </w:tc>
        <w:tc>
          <w:tcPr>
            <w:tcW w:w="992"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132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641"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1345" w:type="dxa"/>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pStyle w:val="3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bl>
    <w:p>
      <w:pPr>
        <w:ind w:firstLine="360"/>
        <w:rPr>
          <w:rFonts w:hint="default" w:ascii="Times New Roman" w:hAnsi="Times New Roman" w:cs="Times New Roman"/>
          <w:color w:val="auto"/>
          <w:sz w:val="18"/>
          <w:highlight w:val="none"/>
        </w:rPr>
        <w:sectPr>
          <w:footerReference r:id="rId6" w:type="default"/>
          <w:type w:val="oddPage"/>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rPr>
          <w:rFonts w:hint="default" w:ascii="Times New Roman" w:hAnsi="Times New Roman" w:cs="Times New Roman" w:eastAsiaTheme="minorEastAsia"/>
          <w:b/>
          <w:bCs/>
          <w:sz w:val="30"/>
          <w:szCs w:val="30"/>
          <w:lang w:eastAsia="zh-CN"/>
        </w:rPr>
      </w:pPr>
      <w:r>
        <w:rPr>
          <w:rStyle w:val="36"/>
          <w:rFonts w:hint="default" w:ascii="Times New Roman" w:hAnsi="Times New Roman" w:cs="Times New Roman" w:eastAsiaTheme="minorEastAsia"/>
          <w:b/>
          <w:bCs/>
          <w:color w:val="auto"/>
          <w:sz w:val="30"/>
          <w:szCs w:val="30"/>
          <w:lang w:val="en-US" w:eastAsia="zh-CN"/>
        </w:rPr>
        <w:t>附图一 项目地理位置图</w:t>
      </w:r>
    </w:p>
    <w:p>
      <w:pPr>
        <w:pStyle w:val="6"/>
        <w:rPr>
          <w:rFonts w:hint="default"/>
          <w:lang w:eastAsia="zh-CN"/>
        </w:rPr>
        <w:sectPr>
          <w:headerReference r:id="rId7" w:type="default"/>
          <w:footerReference r:id="rId8"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2"/>
        </w:rPr>
        <mc:AlternateContent>
          <mc:Choice Requires="wps">
            <w:drawing>
              <wp:anchor distT="0" distB="0" distL="114300" distR="114300" simplePos="0" relativeHeight="251705344" behindDoc="0" locked="0" layoutInCell="1" allowOverlap="1">
                <wp:simplePos x="0" y="0"/>
                <wp:positionH relativeFrom="column">
                  <wp:posOffset>2861945</wp:posOffset>
                </wp:positionH>
                <wp:positionV relativeFrom="paragraph">
                  <wp:posOffset>2496185</wp:posOffset>
                </wp:positionV>
                <wp:extent cx="804545" cy="330200"/>
                <wp:effectExtent l="408305" t="6350" r="6350" b="74930"/>
                <wp:wrapNone/>
                <wp:docPr id="5" name="圆角矩形标注 5"/>
                <wp:cNvGraphicFramePr/>
                <a:graphic xmlns:a="http://schemas.openxmlformats.org/drawingml/2006/main">
                  <a:graphicData uri="http://schemas.microsoft.com/office/word/2010/wordprocessingShape">
                    <wps:wsp>
                      <wps:cNvSpPr/>
                      <wps:spPr>
                        <a:xfrm>
                          <a:off x="3465195" y="3693795"/>
                          <a:ext cx="804545" cy="330200"/>
                        </a:xfrm>
                        <a:prstGeom prst="wedgeRoundRectCallout">
                          <a:avLst>
                            <a:gd name="adj1" fmla="val -94830"/>
                            <a:gd name="adj2" fmla="val 6359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5.35pt;margin-top:196.55pt;height:26pt;width:63.35pt;z-index:251705344;v-text-anchor:middle;mso-width-relative:page;mso-height-relative:page;" fillcolor="#FFFFFF [3212]" filled="t" stroked="t" coordsize="21600,21600" o:gfxdata="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os29+2AAAAAsB&#10;AAAPAAAAAAAAAAEAIAAAACIAAABkcnMvZG93bnJldi54bWxQSwECFAAUAAAACACHTuJASB2qp8YC&#10;AABwBQAADgAAAAAAAAABACAAAAAnAQAAZHJzL2Uyb0RvYy54bWxQSwUGAAAAAAYABgBZAQAAXwYA&#10;AAAA&#10;" adj="-9683,24536,14400">
                <v:fill on="t" focussize="0,0"/>
                <v:stroke weight="1pt" color="#41719C [3204]" miterlimit="8" joinstyle="miter"/>
                <v:imagedata o:title=""/>
                <o:lock v:ext="edit" aspectratio="f"/>
                <v:textbo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v:textbox>
              </v:shape>
            </w:pict>
          </mc:Fallback>
        </mc:AlternateContent>
      </w:r>
      <w:r>
        <w:rPr>
          <w:rFonts w:hint="default" w:ascii="Times New Roman" w:hAnsi="Times New Roman" w:cs="Times New Roman" w:eastAsiaTheme="minorEastAsia"/>
          <w:b/>
          <w:bCs/>
          <w:sz w:val="30"/>
          <w:szCs w:val="30"/>
        </w:rPr>
        <mc:AlternateContent>
          <mc:Choice Requires="wps">
            <w:drawing>
              <wp:anchor distT="0" distB="0" distL="114300" distR="114300" simplePos="0" relativeHeight="251701248" behindDoc="0" locked="0" layoutInCell="1" allowOverlap="1">
                <wp:simplePos x="0" y="0"/>
                <wp:positionH relativeFrom="column">
                  <wp:posOffset>2315210</wp:posOffset>
                </wp:positionH>
                <wp:positionV relativeFrom="paragraph">
                  <wp:posOffset>2849880</wp:posOffset>
                </wp:positionV>
                <wp:extent cx="142875" cy="133350"/>
                <wp:effectExtent l="19685" t="20320" r="27940" b="17780"/>
                <wp:wrapNone/>
                <wp:docPr id="3" name="任意多边形 3"/>
                <wp:cNvGraphicFramePr/>
                <a:graphic xmlns:a="http://schemas.openxmlformats.org/drawingml/2006/main">
                  <a:graphicData uri="http://schemas.microsoft.com/office/word/2010/wordprocessingShape">
                    <wps:wsp>
                      <wps:cNvSpPr/>
                      <wps:spPr>
                        <a:xfrm>
                          <a:off x="0" y="0"/>
                          <a:ext cx="142875" cy="133350"/>
                        </a:xfrm>
                        <a:custGeom>
                          <a:avLst/>
                          <a:gdLst/>
                          <a:ahLst/>
                          <a:cxnLst>
                            <a:cxn ang="16187392">
                              <a:pos x="457200" y="0"/>
                            </a:cxn>
                            <a:cxn ang="10747904">
                              <a:pos x="0" y="349268"/>
                            </a:cxn>
                            <a:cxn ang="5373952">
                              <a:pos x="174635" y="914397"/>
                            </a:cxn>
                            <a:cxn ang="5373952">
                              <a:pos x="739764" y="914397"/>
                            </a:cxn>
                            <a:cxn ang="0">
                              <a:pos x="914399" y="349268"/>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41719C"/>
                          </a:solidFill>
                          <a:prstDash val="solid"/>
                          <a:miter/>
                          <a:headEnd type="none" w="med" len="med"/>
                          <a:tailEnd type="none" w="med" len="med"/>
                        </a:ln>
                      </wps:spPr>
                      <wps:bodyPr anchor="ctr" upright="1"/>
                    </wps:wsp>
                  </a:graphicData>
                </a:graphic>
              </wp:anchor>
            </w:drawing>
          </mc:Choice>
          <mc:Fallback>
            <w:pict>
              <v:shape id="_x0000_s1026" o:spid="_x0000_s1026" o:spt="100" style="position:absolute;left:0pt;margin-left:182.3pt;margin-top:224.4pt;height:10.5pt;width:11.25pt;z-index:251701248;v-text-anchor:middle;mso-width-relative:page;mso-height-relative:page;" fillcolor="#FF0000" filled="t" stroked="t" coordsize="914400,914400" o:gfxdata="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Cyb4+baAAAACwEAAA8AAAAAAAAAAQAgAAAAIgAA&#10;AGRycy9kb3ducmV2LnhtbFBLAQIUABQAAAAIAIdO4kB1b0g+6gIAACoHAAAOAAAAAAAAAAEAIAAA&#10;ACkBAABkcnMvZTJvRG9jLnhtbFBLBQYAAAAABgAGAFkBAACFBgAAAAA=&#10;" path="m0,349268l349271,349271,457200,0,565128,349271,914399,349268,631831,565127,739764,914397,457200,698534,174635,914397,282568,565127xe">
                <v:path o:connectlocs="457200,0;0,349268;174635,914397;739764,914397;914399,349268" o:connectangles="247,164,82,82,0"/>
                <v:fill on="t" focussize="0,0"/>
                <v:stroke weight="1pt" color="#41719C" joinstyle="miter"/>
                <v:imagedata o:title=""/>
                <o:lock v:ext="edit" aspectratio="f"/>
              </v:shape>
            </w:pict>
          </mc:Fallback>
        </mc:AlternateContent>
      </w:r>
      <w:r>
        <w:rPr>
          <w:sz w:val="22"/>
        </w:rPr>
        <mc:AlternateContent>
          <mc:Choice Requires="wps">
            <w:drawing>
              <wp:anchor distT="0" distB="0" distL="114300" distR="114300" simplePos="0" relativeHeight="251704320" behindDoc="0" locked="0" layoutInCell="1" allowOverlap="1">
                <wp:simplePos x="0" y="0"/>
                <wp:positionH relativeFrom="column">
                  <wp:posOffset>17145</wp:posOffset>
                </wp:positionH>
                <wp:positionV relativeFrom="paragraph">
                  <wp:posOffset>13335</wp:posOffset>
                </wp:positionV>
                <wp:extent cx="5951855" cy="8533765"/>
                <wp:effectExtent l="9525" t="0" r="12700" b="21590"/>
                <wp:wrapNone/>
                <wp:docPr id="2" name="矩形 2"/>
                <wp:cNvGraphicFramePr/>
                <a:graphic xmlns:a="http://schemas.openxmlformats.org/drawingml/2006/main">
                  <a:graphicData uri="http://schemas.microsoft.com/office/word/2010/wordprocessingShape">
                    <wps:wsp>
                      <wps:cNvSpPr/>
                      <wps:spPr>
                        <a:xfrm>
                          <a:off x="823595" y="1156970"/>
                          <a:ext cx="5951855" cy="85337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5pt;height:671.95pt;width:468.65pt;z-index:251704320;v-text-anchor:middle;mso-width-relative:page;mso-height-relative:page;" filled="f" stroked="t" coordsize="21600,21600" o:gfxdata="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T1WNNgA&#10;AAAIAQAADwAAAAAAAAABACAAAAAiAAAAZHJzL2Rvd25yZXYueG1sUEsBAhQAFAAAAAgAh07iQJNa&#10;041YAgAAiQQAAA4AAAAAAAAAAQAgAAAAJwEAAGRycy9lMm9Eb2MueG1sUEsFBgAAAAAGAAYAWQEA&#10;APEFAAAAAA==&#10;">
                <v:fill on="f" focussize="0,0"/>
                <v:stroke weight="1.5pt" color="#000000 [3213]" miterlimit="8" joinstyle="miter"/>
                <v:imagedata o:title=""/>
                <o:lock v:ext="edit" aspectratio="f"/>
              </v:rect>
            </w:pict>
          </mc:Fallback>
        </mc:AlternateContent>
      </w:r>
      <w:r>
        <w:rPr>
          <w:rFonts w:hint="default"/>
          <w:lang w:eastAsia="zh-CN"/>
        </w:rPr>
        <w:drawing>
          <wp:inline distT="0" distB="0" distL="114300" distR="114300">
            <wp:extent cx="5946140" cy="8521065"/>
            <wp:effectExtent l="0" t="0" r="12700" b="13335"/>
            <wp:docPr id="1" name="图片 1" descr="chang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ngyuan"/>
                    <pic:cNvPicPr>
                      <a:picLocks noChangeAspect="1"/>
                    </pic:cNvPicPr>
                  </pic:nvPicPr>
                  <pic:blipFill>
                    <a:blip r:embed="rId14"/>
                    <a:stretch>
                      <a:fillRect/>
                    </a:stretch>
                  </pic:blipFill>
                  <pic:spPr>
                    <a:xfrm>
                      <a:off x="0" y="0"/>
                      <a:ext cx="5946140" cy="8521065"/>
                    </a:xfrm>
                    <a:prstGeom prst="rect">
                      <a:avLst/>
                    </a:prstGeom>
                  </pic:spPr>
                </pic:pic>
              </a:graphicData>
            </a:graphic>
          </wp:inline>
        </w:drawing>
      </w:r>
    </w:p>
    <w:p>
      <w:pPr>
        <w:jc w:val="left"/>
        <w:rPr>
          <w:rFonts w:hint="default"/>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pStyle w:val="6"/>
        <w:jc w:val="center"/>
        <w:rPr>
          <w:rFonts w:hint="eastAsia"/>
          <w:lang w:val="en-US" w:eastAsia="zh-CN"/>
        </w:rPr>
      </w:pPr>
      <w:r>
        <w:drawing>
          <wp:inline distT="0" distB="0" distL="114300" distR="114300">
            <wp:extent cx="8952230" cy="5390515"/>
            <wp:effectExtent l="0" t="0" r="1270" b="63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5"/>
                    <a:stretch>
                      <a:fillRect/>
                    </a:stretch>
                  </pic:blipFill>
                  <pic:spPr>
                    <a:xfrm>
                      <a:off x="0" y="0"/>
                      <a:ext cx="8952230" cy="5390515"/>
                    </a:xfrm>
                    <a:prstGeom prst="rect">
                      <a:avLst/>
                    </a:prstGeom>
                    <a:noFill/>
                    <a:ln w="9525">
                      <a:noFill/>
                    </a:ln>
                  </pic:spPr>
                </pic:pic>
              </a:graphicData>
            </a:graphic>
          </wp:inline>
        </w:drawing>
      </w:r>
    </w:p>
    <w:p>
      <w:pPr>
        <w:rPr>
          <w:rFonts w:hint="eastAsia" w:eastAsia="微软雅黑"/>
          <w:lang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left"/>
        <w:rPr>
          <w:rFonts w:hint="default"/>
          <w:lang w:val="en-US" w:eastAsia="zh-CN"/>
        </w:rPr>
      </w:pPr>
      <w:bookmarkStart w:id="5" w:name="_Toc16125"/>
      <w:r>
        <w:rPr>
          <w:rFonts w:hint="default" w:ascii="Times New Roman" w:hAnsi="Times New Roman" w:cs="Times New Roman" w:eastAsiaTheme="minorEastAsia"/>
          <w:b/>
          <w:bCs/>
          <w:color w:val="auto"/>
          <w:sz w:val="30"/>
          <w:szCs w:val="30"/>
          <w:lang w:val="en-US" w:eastAsia="zh-CN"/>
        </w:rPr>
        <w:t>附图三 项目平面布置图</w:t>
      </w:r>
      <w:bookmarkEnd w:id="5"/>
      <w:bookmarkStart w:id="6" w:name="_Toc1520"/>
    </w:p>
    <w:p>
      <w:pPr>
        <w:jc w:val="center"/>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809615" cy="7428865"/>
            <wp:effectExtent l="0" t="0" r="635"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6"/>
                    <a:stretch>
                      <a:fillRect/>
                    </a:stretch>
                  </pic:blipFill>
                  <pic:spPr>
                    <a:xfrm>
                      <a:off x="0" y="0"/>
                      <a:ext cx="5809615" cy="742886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附图</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五</w:t>
      </w: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 xml:space="preserve"> 项目现状图</w:t>
      </w:r>
      <w:bookmarkEnd w:id="6"/>
    </w:p>
    <w:p>
      <w:pPr>
        <w:pStyle w:val="2"/>
        <w:ind w:left="0" w:leftChars="0" w:firstLine="0" w:firstLineChars="0"/>
        <w:rPr>
          <w:rFonts w:hint="default"/>
          <w:lang w:val="en-US" w:eastAsia="zh-CN"/>
        </w:rPr>
      </w:pPr>
    </w:p>
    <w:tbl>
      <w:tblPr>
        <w:tblStyle w:val="25"/>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2" w:type="dxa"/>
            <w:vAlign w:val="center"/>
          </w:tcPr>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0"/>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drawing>
                <wp:inline distT="0" distB="0" distL="114300" distR="114300">
                  <wp:extent cx="2886710" cy="3848735"/>
                  <wp:effectExtent l="0" t="0" r="8890" b="18415"/>
                  <wp:docPr id="25" name="图片 25" descr="82dbd350a6f500c023905c4d0a41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2dbd350a6f500c023905c4d0a414e7"/>
                          <pic:cNvPicPr>
                            <a:picLocks noChangeAspect="1"/>
                          </pic:cNvPicPr>
                        </pic:nvPicPr>
                        <pic:blipFill>
                          <a:blip r:embed="rId17"/>
                          <a:stretch>
                            <a:fillRect/>
                          </a:stretch>
                        </pic:blipFill>
                        <pic:spPr>
                          <a:xfrm>
                            <a:off x="0" y="0"/>
                            <a:ext cx="2886710" cy="3848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2" w:type="dxa"/>
            <w:vAlign w:val="center"/>
          </w:tcPr>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0"/>
              <w:rPr>
                <w:rFonts w:hint="default" w:ascii="Times New Roman" w:hAnsi="Times New Roman" w:cs="Times New Roman" w:eastAsiaTheme="minorEastAsia"/>
                <w:b w:val="0"/>
                <w:bCs/>
                <w:color w:val="auto"/>
                <w:sz w:val="21"/>
                <w:szCs w:val="21"/>
                <w:vertAlign w:val="baseline"/>
                <w:lang w:eastAsia="zh-CN"/>
              </w:rPr>
            </w:pPr>
            <w:r>
              <w:rPr>
                <w:rFonts w:hint="eastAsia" w:ascii="Times New Roman" w:hAnsi="Times New Roman" w:cs="Times New Roman" w:eastAsiaTheme="minorEastAsia"/>
                <w:b w:val="0"/>
                <w:bCs/>
                <w:color w:val="auto"/>
                <w:sz w:val="21"/>
                <w:szCs w:val="21"/>
                <w:vertAlign w:val="baseline"/>
                <w:lang w:val="en-US" w:eastAsia="zh-CN"/>
              </w:rPr>
              <w:t>废气处理设备</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eastAsia="zh-CN"/>
        </w:rPr>
      </w:pPr>
      <w:r>
        <w:rPr>
          <w:rFonts w:hint="default" w:ascii="Times New Roman" w:hAnsi="Times New Roman" w:cs="Times New Roman" w:eastAsiaTheme="minorEastAsia"/>
          <w:color w:val="auto"/>
          <w:sz w:val="30"/>
          <w:szCs w:val="30"/>
          <w:lang w:eastAsia="zh-CN"/>
        </w:rPr>
        <w:br w:type="page"/>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bookmarkStart w:id="7" w:name="_Toc20703"/>
    </w:p>
    <w:p>
      <w:pPr>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lang w:val="en-US" w:eastAsia="zh-CN"/>
        </w:rPr>
        <w:drawing>
          <wp:inline distT="0" distB="0" distL="114300" distR="114300">
            <wp:extent cx="5946775" cy="8249920"/>
            <wp:effectExtent l="0" t="0" r="15875" b="17780"/>
            <wp:docPr id="26" name="图片 26" descr="ce8fc36700f21b814182cae81ef8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e8fc36700f21b814182cae81ef891d"/>
                    <pic:cNvPicPr>
                      <a:picLocks noChangeAspect="1"/>
                    </pic:cNvPicPr>
                  </pic:nvPicPr>
                  <pic:blipFill>
                    <a:blip r:embed="rId18"/>
                    <a:stretch>
                      <a:fillRect/>
                    </a:stretch>
                  </pic:blipFill>
                  <pic:spPr>
                    <a:xfrm>
                      <a:off x="0" y="0"/>
                      <a:ext cx="5946775" cy="8249920"/>
                    </a:xfrm>
                    <a:prstGeom prst="rect">
                      <a:avLst/>
                    </a:prstGeom>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7"/>
    </w:p>
    <w:p>
      <w:pP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 w:name="_GoBack"/>
      <w:bookmarkEnd w:id="8"/>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drawing>
          <wp:inline distT="0" distB="0" distL="114300" distR="114300">
            <wp:extent cx="5271770" cy="7460615"/>
            <wp:effectExtent l="0" t="0" r="5080" b="6985"/>
            <wp:docPr id="11" name="图片 11"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鼎晟"/>
                    <pic:cNvPicPr>
                      <a:picLocks noChangeAspect="1"/>
                    </pic:cNvPicPr>
                  </pic:nvPicPr>
                  <pic:blipFill>
                    <a:blip r:embed="rId19"/>
                    <a:stretch>
                      <a:fillRect/>
                    </a:stretch>
                  </pic:blipFill>
                  <pic:spPr>
                    <a:xfrm>
                      <a:off x="0" y="0"/>
                      <a:ext cx="5271770" cy="7460615"/>
                    </a:xfrm>
                    <a:prstGeom prst="rect">
                      <a:avLst/>
                    </a:prstGeom>
                  </pic:spPr>
                </pic:pic>
              </a:graphicData>
            </a:graphic>
          </wp:inline>
        </w:drawing>
      </w:r>
    </w:p>
    <w:p>
      <w:pPr>
        <w:rPr>
          <w:rFonts w:hint="eastAsia"/>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im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F Pro Tex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Plotter">
    <w:altName w:val="Tahoma"/>
    <w:panose1 w:val="00000000000000000000"/>
    <w:charset w:val="00"/>
    <w:family w:val="auto"/>
    <w:pitch w:val="default"/>
    <w:sig w:usb0="00000000" w:usb1="00000000" w:usb2="81609000" w:usb3="00000000" w:csb0="8163D74C" w:csb1="BFF7D17E"/>
  </w:font>
  <w:font w:name="Arial Narrow">
    <w:altName w:val="Arial"/>
    <w:panose1 w:val="020B0606020202030204"/>
    <w:charset w:val="00"/>
    <w:family w:val="swiss"/>
    <w:pitch w:val="default"/>
    <w:sig w:usb0="00000000" w:usb1="00000000" w:usb2="00000000" w:usb3="00000000" w:csb0="0000009F"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Lucida Console">
    <w:panose1 w:val="020B0609040504020204"/>
    <w:charset w:val="00"/>
    <w:family w:val="auto"/>
    <w:pitch w:val="default"/>
    <w:sig w:usb0="8000028F" w:usb1="00001800" w:usb2="00000000" w:usb3="00000000" w:csb0="0000001F" w:csb1="D7D70000"/>
  </w:font>
  <w:font w:name="Calibri Light">
    <w:panose1 w:val="020F0302020204030204"/>
    <w:charset w:val="00"/>
    <w:family w:val="auto"/>
    <w:pitch w:val="default"/>
    <w:sig w:usb0="E0002AFF" w:usb1="C000247B"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叶根友毛笔行书2.0版">
    <w:altName w:val="宋体"/>
    <w:panose1 w:val="02010601030101010101"/>
    <w:charset w:val="86"/>
    <w:family w:val="auto"/>
    <w:pitch w:val="default"/>
    <w:sig w:usb0="00000000" w:usb1="00000000" w:usb2="00000000" w:usb3="00000000" w:csb0="00040000" w:csb1="00000000"/>
  </w:font>
  <w:font w:name="time">
    <w:altName w:val="Segoe Print"/>
    <w:panose1 w:val="00000000000000000000"/>
    <w:charset w:val="00"/>
    <w:family w:val="auto"/>
    <w:pitch w:val="default"/>
    <w:sig w:usb0="00000000" w:usb1="00000000" w:usb2="00000000" w:usb3="00000000" w:csb0="00000000" w:csb1="00000000"/>
  </w:font>
  <w:font w:name="题目是">
    <w:altName w:val="Segoe Print"/>
    <w:panose1 w:val="00000000000000000000"/>
    <w:charset w:val="00"/>
    <w:family w:val="auto"/>
    <w:pitch w:val="default"/>
    <w:sig w:usb0="00000000" w:usb1="00000000" w:usb2="00000000" w:usb3="00000000" w:csb0="00000000" w:csb1="00000000"/>
  </w:font>
  <w:font w:name="题目">
    <w:altName w:val="Segoe Print"/>
    <w:panose1 w:val="00000000000000000000"/>
    <w:charset w:val="00"/>
    <w:family w:val="auto"/>
    <w:pitch w:val="default"/>
    <w:sig w:usb0="00000000" w:usb1="00000000" w:usb2="00000000" w:usb3="00000000" w:csb0="00000000" w:csb1="00000000"/>
  </w:font>
  <w:font w:name="题">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Calibri">
    <w:panose1 w:val="020F0502020204030204"/>
    <w:charset w:val="86"/>
    <w:family w:val="auto"/>
    <w:pitch w:val="default"/>
    <w:sig w:usb0="E0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HiddenHorzOCR-Identity-H">
    <w:altName w:val="微软雅黑"/>
    <w:panose1 w:val="00000000000000000000"/>
    <w:charset w:val="00"/>
    <w:family w:val="auto"/>
    <w:pitch w:val="default"/>
    <w:sig w:usb0="00000000" w:usb1="00000000" w:usb2="00000000" w:usb3="00000000" w:csb0="00040001" w:csb1="00000000"/>
  </w:font>
  <w:font w:name="TimesNewRomanPSMT">
    <w:altName w:val="黑体"/>
    <w:panose1 w:val="00000000000000000000"/>
    <w:charset w:val="86"/>
    <w:family w:val="auto"/>
    <w:pitch w:val="default"/>
    <w:sig w:usb0="00000000" w:usb1="00000000" w:usb2="00000010" w:usb3="00000000" w:csb0="00040000" w:csb1="00000000"/>
  </w:font>
  <w:font w:name="ISOCTEUR">
    <w:panose1 w:val="020B0609020202020204"/>
    <w:charset w:val="00"/>
    <w:family w:val="modern"/>
    <w:pitch w:val="default"/>
    <w:sig w:usb0="00000287" w:usb1="00000000" w:usb2="00000000" w:usb3="00000000" w:csb0="4000009F" w:csb1="DFD70000"/>
  </w:font>
  <w:font w:name="monospace">
    <w:altName w:val="Segoe Print"/>
    <w:panose1 w:val="00000000000000000000"/>
    <w:charset w:val="00"/>
    <w:family w:val="auto"/>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jw-icons">
    <w:altName w:val="Segoe Print"/>
    <w:panose1 w:val="00000000000000000000"/>
    <w:charset w:val="00"/>
    <w:family w:val="auto"/>
    <w:pitch w:val="default"/>
    <w:sig w:usb0="00000000" w:usb1="00000000" w:usb2="00000000" w:usb3="00000000" w:csb0="00000000" w:csb1="00000000"/>
  </w:font>
  <w:font w:name="方正舒体">
    <w:altName w:val="宋体"/>
    <w:panose1 w:val="02010601030101010101"/>
    <w:charset w:val="86"/>
    <w:family w:val="auto"/>
    <w:pitch w:val="default"/>
    <w:sig w:usb0="00000000" w:usb1="00000000" w:usb2="00000000" w:usb3="00000000" w:csb0="00040000" w:csb1="00000000"/>
  </w:font>
  <w:font w:name="Noto Sans CJK JP Black">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serif">
    <w:altName w:val="Segoe Print"/>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80"/>
    <w:family w:val="auto"/>
    <w:pitch w:val="default"/>
    <w:sig w:usb0="00000000" w:usb1="00000000" w:usb2="00000010" w:usb3="00000000" w:csb0="00060000" w:csb1="00000000"/>
  </w:font>
  <w:font w:name="Helvetica Neue">
    <w:altName w:val="Helvetica"/>
    <w:panose1 w:val="00000000000000000000"/>
    <w:charset w:val="00"/>
    <w:family w:val="auto"/>
    <w:pitch w:val="default"/>
    <w:sig w:usb0="00000000" w:usb1="00000000" w:usb2="00000000" w:usb3="00000000" w:csb0="00000000" w:csb1="00000000"/>
  </w:font>
  <w:font w:name="Helvetica">
    <w:panose1 w:val="020B0504020202030204"/>
    <w:charset w:val="00"/>
    <w:family w:val="auto"/>
    <w:pitch w:val="default"/>
    <w:sig w:usb0="00000007" w:usb1="00000000" w:usb2="00000000" w:usb3="00000000" w:csb0="00000093" w:csb1="00000000"/>
  </w:font>
  <w:font w:name="DengXian-Bold">
    <w:altName w:val="AMGDT"/>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MS Mincho">
    <w:altName w:val="MS Gothic"/>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TimesNewRomanPS-BoldMT">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hDeMVAgAAFQQAAA4AAABkcnMvZTJvRG9jLnhtbK1Ty47TMBTdI/EP&#10;lvc0aYFR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GEs0UdnT68f308+H06xvBHQhqrZ8hbmMRGbp3psOih3uPy4i7&#10;q5yKXyAi8IPq44Ve0QXCY9J0Mp3mcHH4hh/Uzx7TrfPhvTCKRKOgDvtLtLLD2oc+dAiJ3bRZNVKm&#10;HUpNWoB4/T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hDeMVAgAAFQQAAA4AAAAAAAAA&#10;AQAgAAAAHwEAAGRycy9lMm9Eb2MueG1sUEsFBgAAAAAGAAYAWQEAAKYF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jc w:val="right"/>
    </w:pPr>
    <w:r>
      <w:rPr>
        <w:rFonts w:hint="eastAsia" w:ascii="宋体" w:hAnsi="宋体"/>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bottom w:val="single" w:color="auto" w:sz="4"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B7FCD5"/>
    <w:multiLevelType w:val="singleLevel"/>
    <w:tmpl w:val="EDB7FCD5"/>
    <w:lvl w:ilvl="0" w:tentative="0">
      <w:start w:val="3"/>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lvl>
  </w:abstractNum>
  <w:abstractNum w:abstractNumId="3">
    <w:nsid w:val="6D19B5EA"/>
    <w:multiLevelType w:val="singleLevel"/>
    <w:tmpl w:val="6D19B5EA"/>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5769D"/>
    <w:rsid w:val="00860ECC"/>
    <w:rsid w:val="01367D84"/>
    <w:rsid w:val="017D0BAC"/>
    <w:rsid w:val="01A7655E"/>
    <w:rsid w:val="01BD1FE9"/>
    <w:rsid w:val="02977946"/>
    <w:rsid w:val="02C54C35"/>
    <w:rsid w:val="0332532D"/>
    <w:rsid w:val="03BC205B"/>
    <w:rsid w:val="03F46567"/>
    <w:rsid w:val="0471197A"/>
    <w:rsid w:val="04B619E4"/>
    <w:rsid w:val="04DE629D"/>
    <w:rsid w:val="051E0AF9"/>
    <w:rsid w:val="052D4E19"/>
    <w:rsid w:val="053417DF"/>
    <w:rsid w:val="05861620"/>
    <w:rsid w:val="060E5773"/>
    <w:rsid w:val="073044D1"/>
    <w:rsid w:val="07733BE5"/>
    <w:rsid w:val="08691AC5"/>
    <w:rsid w:val="08F80C78"/>
    <w:rsid w:val="09EC2FF4"/>
    <w:rsid w:val="0AE54CD1"/>
    <w:rsid w:val="0B2C6E72"/>
    <w:rsid w:val="0B387E93"/>
    <w:rsid w:val="0B3F197D"/>
    <w:rsid w:val="0C844276"/>
    <w:rsid w:val="0D15350E"/>
    <w:rsid w:val="0D6C47D4"/>
    <w:rsid w:val="0D7A48C8"/>
    <w:rsid w:val="0D7D2F82"/>
    <w:rsid w:val="0E6B2A97"/>
    <w:rsid w:val="0FD64F0C"/>
    <w:rsid w:val="0FF10DE9"/>
    <w:rsid w:val="107E5F36"/>
    <w:rsid w:val="109117B7"/>
    <w:rsid w:val="10B11419"/>
    <w:rsid w:val="113D3B56"/>
    <w:rsid w:val="11F441AE"/>
    <w:rsid w:val="12205CFC"/>
    <w:rsid w:val="12590EE9"/>
    <w:rsid w:val="12693061"/>
    <w:rsid w:val="13D05520"/>
    <w:rsid w:val="14423785"/>
    <w:rsid w:val="14444C64"/>
    <w:rsid w:val="149D4FA6"/>
    <w:rsid w:val="14C52F73"/>
    <w:rsid w:val="14CE2346"/>
    <w:rsid w:val="150617E2"/>
    <w:rsid w:val="15F968AE"/>
    <w:rsid w:val="163538E8"/>
    <w:rsid w:val="168A195D"/>
    <w:rsid w:val="168B02EC"/>
    <w:rsid w:val="168B6CD9"/>
    <w:rsid w:val="16961D52"/>
    <w:rsid w:val="172C49E3"/>
    <w:rsid w:val="179C30FE"/>
    <w:rsid w:val="17C943B7"/>
    <w:rsid w:val="17F3761E"/>
    <w:rsid w:val="193A0160"/>
    <w:rsid w:val="1969357D"/>
    <w:rsid w:val="1A2B629C"/>
    <w:rsid w:val="1A7F0811"/>
    <w:rsid w:val="1C114472"/>
    <w:rsid w:val="1C224902"/>
    <w:rsid w:val="1C8E2E8F"/>
    <w:rsid w:val="1D3C373F"/>
    <w:rsid w:val="1D5D50D3"/>
    <w:rsid w:val="1D6B7C5F"/>
    <w:rsid w:val="1E0176BB"/>
    <w:rsid w:val="1E1D39DF"/>
    <w:rsid w:val="1E8E4E66"/>
    <w:rsid w:val="1EED2B02"/>
    <w:rsid w:val="1F105DA0"/>
    <w:rsid w:val="1FC701AB"/>
    <w:rsid w:val="1FE2500B"/>
    <w:rsid w:val="207A4B81"/>
    <w:rsid w:val="210522FE"/>
    <w:rsid w:val="212C36E0"/>
    <w:rsid w:val="223D59DE"/>
    <w:rsid w:val="22EF57EC"/>
    <w:rsid w:val="23B90BE1"/>
    <w:rsid w:val="23D9081D"/>
    <w:rsid w:val="24B05DC6"/>
    <w:rsid w:val="24E969A8"/>
    <w:rsid w:val="252734AA"/>
    <w:rsid w:val="25F90EFB"/>
    <w:rsid w:val="260C4038"/>
    <w:rsid w:val="261C5095"/>
    <w:rsid w:val="26316E73"/>
    <w:rsid w:val="269F549E"/>
    <w:rsid w:val="26E31BFB"/>
    <w:rsid w:val="2867768D"/>
    <w:rsid w:val="28E74E68"/>
    <w:rsid w:val="2A527567"/>
    <w:rsid w:val="2AAA1004"/>
    <w:rsid w:val="2B4601C8"/>
    <w:rsid w:val="2B6F254B"/>
    <w:rsid w:val="2BB1430A"/>
    <w:rsid w:val="2BDA2FB2"/>
    <w:rsid w:val="2C615D7F"/>
    <w:rsid w:val="2C7F48C7"/>
    <w:rsid w:val="2CE87D29"/>
    <w:rsid w:val="2D3A17CD"/>
    <w:rsid w:val="2D916C28"/>
    <w:rsid w:val="2EAB0724"/>
    <w:rsid w:val="2EFF086E"/>
    <w:rsid w:val="2F186DC6"/>
    <w:rsid w:val="2F2771A0"/>
    <w:rsid w:val="2F416820"/>
    <w:rsid w:val="2F6D3C3B"/>
    <w:rsid w:val="2FE25B75"/>
    <w:rsid w:val="303C125A"/>
    <w:rsid w:val="310643DA"/>
    <w:rsid w:val="310E33C3"/>
    <w:rsid w:val="314E167B"/>
    <w:rsid w:val="318E778D"/>
    <w:rsid w:val="33E4796F"/>
    <w:rsid w:val="34723C7D"/>
    <w:rsid w:val="35226CBA"/>
    <w:rsid w:val="357E50F5"/>
    <w:rsid w:val="37354660"/>
    <w:rsid w:val="37D20D59"/>
    <w:rsid w:val="388C0A03"/>
    <w:rsid w:val="39533054"/>
    <w:rsid w:val="39A03C1A"/>
    <w:rsid w:val="39EB10DA"/>
    <w:rsid w:val="3B1A4644"/>
    <w:rsid w:val="3B345812"/>
    <w:rsid w:val="3B7A01B1"/>
    <w:rsid w:val="3B92739C"/>
    <w:rsid w:val="3BD73354"/>
    <w:rsid w:val="3BD85E8A"/>
    <w:rsid w:val="3C2320A3"/>
    <w:rsid w:val="3C5C32AD"/>
    <w:rsid w:val="3C6134CC"/>
    <w:rsid w:val="3CA60E6F"/>
    <w:rsid w:val="3D0E14E1"/>
    <w:rsid w:val="3D6C2199"/>
    <w:rsid w:val="3DD71F21"/>
    <w:rsid w:val="3DD825FB"/>
    <w:rsid w:val="3DDC654B"/>
    <w:rsid w:val="3E6327CC"/>
    <w:rsid w:val="3F245E78"/>
    <w:rsid w:val="3F3324CA"/>
    <w:rsid w:val="40582A3C"/>
    <w:rsid w:val="40DC3532"/>
    <w:rsid w:val="41290FD7"/>
    <w:rsid w:val="41D06DB8"/>
    <w:rsid w:val="42316D5B"/>
    <w:rsid w:val="426C7E01"/>
    <w:rsid w:val="449E0D61"/>
    <w:rsid w:val="45140A56"/>
    <w:rsid w:val="45DB1148"/>
    <w:rsid w:val="46AE38AF"/>
    <w:rsid w:val="4721277A"/>
    <w:rsid w:val="478D152F"/>
    <w:rsid w:val="47F00428"/>
    <w:rsid w:val="494D5D20"/>
    <w:rsid w:val="49D94642"/>
    <w:rsid w:val="4A34721A"/>
    <w:rsid w:val="4A7F537F"/>
    <w:rsid w:val="4AA363BD"/>
    <w:rsid w:val="4AF35C9A"/>
    <w:rsid w:val="4B74558A"/>
    <w:rsid w:val="4B8C589D"/>
    <w:rsid w:val="4BA73AFE"/>
    <w:rsid w:val="4BAE467D"/>
    <w:rsid w:val="4BE53FF2"/>
    <w:rsid w:val="4C300098"/>
    <w:rsid w:val="4C736794"/>
    <w:rsid w:val="4C9A18F8"/>
    <w:rsid w:val="4CC36F57"/>
    <w:rsid w:val="4CDF2427"/>
    <w:rsid w:val="4DA104DB"/>
    <w:rsid w:val="4DAD2AFE"/>
    <w:rsid w:val="4F09555C"/>
    <w:rsid w:val="4F0F3844"/>
    <w:rsid w:val="4F722C00"/>
    <w:rsid w:val="4F872750"/>
    <w:rsid w:val="505E2FB2"/>
    <w:rsid w:val="50964276"/>
    <w:rsid w:val="50AE4015"/>
    <w:rsid w:val="50F14E29"/>
    <w:rsid w:val="514B3B20"/>
    <w:rsid w:val="517B13DE"/>
    <w:rsid w:val="51CC035C"/>
    <w:rsid w:val="52241502"/>
    <w:rsid w:val="526D448B"/>
    <w:rsid w:val="528C421B"/>
    <w:rsid w:val="52A171D8"/>
    <w:rsid w:val="53187245"/>
    <w:rsid w:val="53643591"/>
    <w:rsid w:val="53B37C79"/>
    <w:rsid w:val="54007D2C"/>
    <w:rsid w:val="54BA4BEB"/>
    <w:rsid w:val="562E7140"/>
    <w:rsid w:val="574936FC"/>
    <w:rsid w:val="57CA0B05"/>
    <w:rsid w:val="57F93497"/>
    <w:rsid w:val="59796C48"/>
    <w:rsid w:val="59A8766B"/>
    <w:rsid w:val="59C213AF"/>
    <w:rsid w:val="5A5F2DAA"/>
    <w:rsid w:val="5B8C3679"/>
    <w:rsid w:val="5BA641A6"/>
    <w:rsid w:val="5BAC7D6B"/>
    <w:rsid w:val="5CBD2DA1"/>
    <w:rsid w:val="5CEE09AC"/>
    <w:rsid w:val="5D1815DC"/>
    <w:rsid w:val="5E3122B8"/>
    <w:rsid w:val="5E4451F4"/>
    <w:rsid w:val="5E723E07"/>
    <w:rsid w:val="5F8C41E4"/>
    <w:rsid w:val="5FBD2937"/>
    <w:rsid w:val="60496EF6"/>
    <w:rsid w:val="611C59D6"/>
    <w:rsid w:val="61470BE8"/>
    <w:rsid w:val="617307D6"/>
    <w:rsid w:val="620364C8"/>
    <w:rsid w:val="62D822F7"/>
    <w:rsid w:val="64B9102D"/>
    <w:rsid w:val="64C5218C"/>
    <w:rsid w:val="65F95DD7"/>
    <w:rsid w:val="660754B0"/>
    <w:rsid w:val="668239BE"/>
    <w:rsid w:val="66BD27F4"/>
    <w:rsid w:val="67204D6A"/>
    <w:rsid w:val="68810274"/>
    <w:rsid w:val="689C7725"/>
    <w:rsid w:val="695139D6"/>
    <w:rsid w:val="69F543F0"/>
    <w:rsid w:val="6AA83360"/>
    <w:rsid w:val="6AAD7B2A"/>
    <w:rsid w:val="6B1804AF"/>
    <w:rsid w:val="6B214FDF"/>
    <w:rsid w:val="6BAE4AD6"/>
    <w:rsid w:val="6BE90BE4"/>
    <w:rsid w:val="6C6F076F"/>
    <w:rsid w:val="6C7E05D2"/>
    <w:rsid w:val="6C982186"/>
    <w:rsid w:val="6D2306E0"/>
    <w:rsid w:val="6DC62104"/>
    <w:rsid w:val="6DF14842"/>
    <w:rsid w:val="6E946991"/>
    <w:rsid w:val="6EC60E34"/>
    <w:rsid w:val="6F56326B"/>
    <w:rsid w:val="6FA35713"/>
    <w:rsid w:val="6FB06F83"/>
    <w:rsid w:val="6FFF385A"/>
    <w:rsid w:val="703B5442"/>
    <w:rsid w:val="70B50430"/>
    <w:rsid w:val="71C20045"/>
    <w:rsid w:val="72985B0B"/>
    <w:rsid w:val="72E526DB"/>
    <w:rsid w:val="749B574F"/>
    <w:rsid w:val="75591809"/>
    <w:rsid w:val="755D6773"/>
    <w:rsid w:val="757E1F4F"/>
    <w:rsid w:val="77A1156C"/>
    <w:rsid w:val="77B2490E"/>
    <w:rsid w:val="792B0A89"/>
    <w:rsid w:val="795A6F7F"/>
    <w:rsid w:val="79A6533C"/>
    <w:rsid w:val="79E254FC"/>
    <w:rsid w:val="7A575CA4"/>
    <w:rsid w:val="7AD551A5"/>
    <w:rsid w:val="7B581016"/>
    <w:rsid w:val="7BFF3704"/>
    <w:rsid w:val="7C144C86"/>
    <w:rsid w:val="7C1B55EF"/>
    <w:rsid w:val="7C836028"/>
    <w:rsid w:val="7C9454D1"/>
    <w:rsid w:val="7CBE2A20"/>
    <w:rsid w:val="7D53007E"/>
    <w:rsid w:val="7DBE7932"/>
    <w:rsid w:val="7DF526B1"/>
    <w:rsid w:val="7E4A21C6"/>
    <w:rsid w:val="7EAD31A8"/>
    <w:rsid w:val="7EAE0638"/>
    <w:rsid w:val="7EF31644"/>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36"/>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link w:val="19"/>
    <w:semiHidden/>
    <w:qFormat/>
    <w:uiPriority w:val="0"/>
    <w:rPr>
      <w:rFonts w:ascii="宋体" w:hAnsi="宋体" w:cs="宋体"/>
      <w:szCs w:val="24"/>
    </w:rPr>
  </w:style>
  <w:style w:type="table" w:default="1" w:styleId="2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rPr>
      <w:rFonts w:ascii="Times New Roman" w:hAnsi="Times New Roman" w:eastAsia="宋体"/>
    </w:rPr>
  </w:style>
  <w:style w:type="paragraph" w:styleId="7">
    <w:name w:val="Note Heading"/>
    <w:basedOn w:val="1"/>
    <w:next w:val="1"/>
    <w:qFormat/>
    <w:uiPriority w:val="0"/>
    <w:pPr>
      <w:jc w:val="center"/>
    </w:pPr>
  </w:style>
  <w:style w:type="paragraph" w:styleId="8">
    <w:name w:val="Normal Indent"/>
    <w:basedOn w:val="1"/>
    <w:next w:val="1"/>
    <w:qFormat/>
    <w:uiPriority w:val="0"/>
    <w:rPr>
      <w:kern w:val="2"/>
      <w:sz w:val="28"/>
    </w:rPr>
  </w:style>
  <w:style w:type="paragraph" w:styleId="9">
    <w:name w:val="caption"/>
    <w:basedOn w:val="1"/>
    <w:next w:val="1"/>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Body Text"/>
    <w:basedOn w:val="1"/>
    <w:qFormat/>
    <w:uiPriority w:val="0"/>
    <w:pPr>
      <w:spacing w:line="480" w:lineRule="auto"/>
    </w:pPr>
    <w:rPr>
      <w:b/>
      <w:bCs/>
      <w:sz w:val="24"/>
    </w:rPr>
  </w:style>
  <w:style w:type="paragraph" w:styleId="12">
    <w:name w:val="Body Text Indent"/>
    <w:basedOn w:val="1"/>
    <w:qFormat/>
    <w:uiPriority w:val="0"/>
    <w:pPr>
      <w:spacing w:line="360" w:lineRule="auto"/>
      <w:ind w:firstLine="480" w:firstLineChars="200"/>
    </w:pPr>
    <w:rPr>
      <w:sz w:val="24"/>
    </w:rPr>
  </w:style>
  <w:style w:type="paragraph" w:styleId="13">
    <w:name w:val="Block Text"/>
    <w:basedOn w:val="1"/>
    <w:unhideWhenUsed/>
    <w:qFormat/>
    <w:uiPriority w:val="0"/>
    <w:pPr>
      <w:snapToGrid w:val="0"/>
      <w:spacing w:line="408" w:lineRule="auto"/>
      <w:ind w:left="-113" w:right="-510" w:firstLine="510"/>
    </w:pPr>
    <w:rPr>
      <w:sz w:val="24"/>
      <w:szCs w:val="20"/>
    </w:rPr>
  </w:style>
  <w:style w:type="paragraph" w:styleId="14">
    <w:name w:val="Plain Text"/>
    <w:basedOn w:val="1"/>
    <w:qFormat/>
    <w:uiPriority w:val="0"/>
    <w:rPr>
      <w:rFonts w:ascii="宋体" w:hAnsi="Courier New"/>
      <w:sz w:val="21"/>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9">
    <w:name w:val=" Char Char1 Char"/>
    <w:basedOn w:val="1"/>
    <w:link w:val="18"/>
    <w:qFormat/>
    <w:uiPriority w:val="0"/>
    <w:pPr>
      <w:spacing w:line="360" w:lineRule="auto"/>
      <w:ind w:firstLine="200" w:firstLineChars="200"/>
    </w:pPr>
    <w:rPr>
      <w:rFonts w:ascii="宋体" w:hAnsi="宋体" w:cs="宋体"/>
      <w:szCs w:val="24"/>
    </w:rPr>
  </w:style>
  <w:style w:type="character" w:styleId="20">
    <w:name w:val="Strong"/>
    <w:basedOn w:val="18"/>
    <w:qFormat/>
    <w:uiPriority w:val="22"/>
    <w:rPr>
      <w:b/>
      <w:bCs/>
    </w:rPr>
  </w:style>
  <w:style w:type="character" w:styleId="21">
    <w:name w:val="page number"/>
    <w:basedOn w:val="18"/>
    <w:qFormat/>
    <w:uiPriority w:val="0"/>
  </w:style>
  <w:style w:type="character" w:styleId="22">
    <w:name w:val="Hyperlink"/>
    <w:basedOn w:val="18"/>
    <w:qFormat/>
    <w:uiPriority w:val="0"/>
    <w:rPr>
      <w:color w:val="0000FF"/>
      <w:u w:val="single"/>
    </w:rPr>
  </w:style>
  <w:style w:type="character" w:styleId="23">
    <w:name w:val="annotation reference"/>
    <w:qFormat/>
    <w:uiPriority w:val="0"/>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7">
    <w:name w:val="page number"/>
    <w:basedOn w:val="18"/>
    <w:qFormat/>
    <w:uiPriority w:val="0"/>
  </w:style>
  <w:style w:type="paragraph" w:customStyle="1" w:styleId="28">
    <w:name w:val="封面 下内容"/>
    <w:basedOn w:val="1"/>
    <w:qFormat/>
    <w:uiPriority w:val="0"/>
    <w:pPr>
      <w:spacing w:line="240" w:lineRule="auto"/>
      <w:ind w:firstLine="0" w:firstLineChars="0"/>
      <w:jc w:val="right"/>
    </w:pPr>
    <w:rPr>
      <w:sz w:val="28"/>
    </w:r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中文报告书样式"/>
    <w:basedOn w:val="1"/>
    <w:qFormat/>
    <w:uiPriority w:val="0"/>
    <w:pPr>
      <w:adjustRightInd w:val="0"/>
      <w:spacing w:line="480" w:lineRule="atLeast"/>
      <w:ind w:firstLine="482"/>
      <w:textAlignment w:val="baseline"/>
    </w:pPr>
    <w:rPr>
      <w:kern w:val="24"/>
      <w:sz w:val="24"/>
    </w:rPr>
  </w:style>
  <w:style w:type="paragraph" w:customStyle="1" w:styleId="31">
    <w:name w:val="报告表正文"/>
    <w:basedOn w:val="1"/>
    <w:qFormat/>
    <w:uiPriority w:val="0"/>
    <w:pPr>
      <w:spacing w:line="360" w:lineRule="auto"/>
      <w:ind w:firstLine="200" w:firstLineChars="200"/>
    </w:pPr>
    <w:rPr>
      <w:rFonts w:eastAsia="楷体_GB2312"/>
      <w:sz w:val="24"/>
      <w:szCs w:val="24"/>
    </w:rPr>
  </w:style>
  <w:style w:type="paragraph" w:customStyle="1" w:styleId="32">
    <w:name w:val="表内格式"/>
    <w:basedOn w:val="1"/>
    <w:qFormat/>
    <w:uiPriority w:val="0"/>
    <w:pPr>
      <w:spacing w:line="240" w:lineRule="exact"/>
      <w:jc w:val="center"/>
    </w:pPr>
    <w:rPr>
      <w:rFonts w:ascii="宋体" w:hAnsi="宋体"/>
      <w:sz w:val="21"/>
    </w:rPr>
  </w:style>
  <w:style w:type="paragraph" w:customStyle="1" w:styleId="33">
    <w:name w:val="0"/>
    <w:basedOn w:val="1"/>
    <w:qFormat/>
    <w:uiPriority w:val="0"/>
    <w:pPr>
      <w:widowControl/>
      <w:snapToGrid w:val="0"/>
      <w:jc w:val="left"/>
    </w:pPr>
    <w:rPr>
      <w:kern w:val="0"/>
      <w:sz w:val="28"/>
      <w:szCs w:val="20"/>
    </w:rPr>
  </w:style>
  <w:style w:type="paragraph" w:customStyle="1" w:styleId="34">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5">
    <w:name w:val="三同时样式"/>
    <w:basedOn w:val="1"/>
    <w:qFormat/>
    <w:uiPriority w:val="0"/>
    <w:pPr>
      <w:spacing w:line="240" w:lineRule="auto"/>
      <w:ind w:firstLine="0" w:firstLineChars="0"/>
      <w:jc w:val="center"/>
    </w:pPr>
    <w:rPr>
      <w:b/>
      <w:sz w:val="18"/>
      <w:szCs w:val="18"/>
    </w:rPr>
  </w:style>
  <w:style w:type="character" w:customStyle="1" w:styleId="36">
    <w:name w:val="标题 1 Char"/>
    <w:link w:val="3"/>
    <w:qFormat/>
    <w:uiPriority w:val="0"/>
    <w:rPr>
      <w:b/>
      <w:kern w:val="44"/>
      <w:sz w:val="28"/>
    </w:rPr>
  </w:style>
  <w:style w:type="paragraph" w:customStyle="1" w:styleId="37">
    <w:name w:val="表格"/>
    <w:basedOn w:val="1"/>
    <w:qFormat/>
    <w:uiPriority w:val="0"/>
    <w:pPr>
      <w:keepNext/>
      <w:adjustRightInd w:val="0"/>
      <w:spacing w:line="312" w:lineRule="atLeast"/>
      <w:jc w:val="center"/>
      <w:textAlignment w:val="baseline"/>
    </w:pPr>
    <w:rPr>
      <w:kern w:val="0"/>
    </w:rPr>
  </w:style>
  <w:style w:type="paragraph" w:customStyle="1" w:styleId="38">
    <w:name w:val="样式1"/>
    <w:basedOn w:val="16"/>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39">
    <w:name w:val="段落"/>
    <w:basedOn w:val="14"/>
    <w:qFormat/>
    <w:uiPriority w:val="0"/>
    <w:pPr>
      <w:spacing w:line="500" w:lineRule="exact"/>
      <w:ind w:firstLine="578"/>
    </w:pPr>
    <w:rPr>
      <w:rFonts w:ascii="Times New Roman" w:hAnsi="Times New Roman"/>
      <w:sz w:val="28"/>
      <w:szCs w:val="24"/>
    </w:rPr>
  </w:style>
  <w:style w:type="paragraph" w:customStyle="1" w:styleId="40">
    <w:name w:val="p0"/>
    <w:basedOn w:val="1"/>
    <w:qFormat/>
    <w:uiPriority w:val="0"/>
    <w:pPr>
      <w:widowControl/>
    </w:pPr>
    <w:rPr>
      <w:kern w:val="0"/>
      <w:szCs w:val="24"/>
    </w:rPr>
  </w:style>
  <w:style w:type="paragraph" w:customStyle="1" w:styleId="4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2">
    <w:name w:val="0正文"/>
    <w:qFormat/>
    <w:uiPriority w:val="99"/>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43">
    <w:name w:val="表中文字1"/>
    <w:qFormat/>
    <w:uiPriority w:val="0"/>
    <w:pPr>
      <w:widowControl w:val="0"/>
      <w:adjustRightInd w:val="0"/>
      <w:snapToGrid w:val="0"/>
      <w:jc w:val="center"/>
    </w:pPr>
    <w:rPr>
      <w:rFonts w:ascii="Times New Roman" w:hAnsi="Times New Roman" w:eastAsia="宋体" w:cs="Times New Roman"/>
      <w:color w:val="000000"/>
      <w:kern w:val="2"/>
      <w:sz w:val="21"/>
      <w:szCs w:val="24"/>
      <w:lang w:val="en-US" w:eastAsia="zh-CN" w:bidi="ar-SA"/>
    </w:rPr>
  </w:style>
  <w:style w:type="character" w:customStyle="1" w:styleId="44">
    <w:name w:val="15"/>
    <w:basedOn w:val="18"/>
    <w:qFormat/>
    <w:uiPriority w:val="0"/>
    <w:rPr>
      <w:rFonts w:hint="eastAsia" w:ascii="宋体" w:hAnsi="宋体" w:eastAsia="宋体" w:cs="宋体"/>
      <w:color w:val="000000"/>
      <w:sz w:val="20"/>
      <w:szCs w:val="20"/>
    </w:rPr>
  </w:style>
  <w:style w:type="character" w:customStyle="1" w:styleId="45">
    <w:name w:val="NormalCharacter"/>
    <w:semiHidden/>
    <w:qFormat/>
    <w:uiPriority w:val="0"/>
    <w:rPr>
      <w:kern w:val="2"/>
      <w:sz w:val="21"/>
      <w:szCs w:val="24"/>
      <w:lang w:val="en-US" w:eastAsia="zh-CN" w:bidi="ar-SA"/>
    </w:rPr>
  </w:style>
  <w:style w:type="character" w:customStyle="1" w:styleId="46">
    <w:name w:val="21"/>
    <w:basedOn w:val="18"/>
    <w:qFormat/>
    <w:uiPriority w:val="0"/>
    <w:rPr>
      <w:rFonts w:hint="default" w:ascii="Times New Roman" w:hAnsi="Times New Roman" w:cs="Times New Roman"/>
      <w:color w:val="000000"/>
      <w:sz w:val="21"/>
      <w:szCs w:val="21"/>
    </w:rPr>
  </w:style>
  <w:style w:type="character" w:customStyle="1" w:styleId="47">
    <w:name w:val="18"/>
    <w:basedOn w:val="18"/>
    <w:qFormat/>
    <w:uiPriority w:val="0"/>
    <w:rPr>
      <w:rFonts w:hint="eastAsia" w:ascii="宋体" w:hAnsi="宋体" w:eastAsia="宋体" w:cs="宋体"/>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2018-09-05T09:43:00Z</cp:lastPrinted>
  <dcterms:modified xsi:type="dcterms:W3CDTF">2022-07-21T01:41:26Z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