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default" w:ascii="Times New Roman" w:hAnsi="Times New Roman" w:eastAsia="宋体" w:cs="Times New Roman"/>
          <w:b/>
          <w:bCs/>
          <w:color w:val="auto"/>
          <w:kern w:val="2"/>
          <w:sz w:val="36"/>
          <w:szCs w:val="36"/>
        </w:rPr>
        <w:t>河南华尔尚实业有限公司年产2.8万件Ⅰ类、Ⅱ类医用卫生材料项目竣工环境保护验收监测报告表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建设单位：河南华尔尚实业有限公司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编制单位：河南华尔尚实业有限公司</w:t>
      </w:r>
      <w:bookmarkStart w:id="4" w:name="_GoBack"/>
      <w:bookmarkEnd w:id="4"/>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建设单位：河南华尔尚实业有限公司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法人代表：尚士强</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尚士强</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联系方式：13782529599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址：长垣市丁栾镇枣园路66号</w:t>
      </w:r>
    </w:p>
    <w:p>
      <w:pPr>
        <w:pStyle w:val="4"/>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default" w:ascii="Times New Roman" w:hAnsi="Times New Roman" w:eastAsia="宋体" w:cs="Times New Roman"/>
          <w:sz w:val="28"/>
        </w:rPr>
        <w:t>河南</w:t>
      </w:r>
      <w:r>
        <w:rPr>
          <w:rFonts w:hint="default" w:ascii="Times New Roman" w:hAnsi="Times New Roman" w:eastAsia="宋体" w:cs="Times New Roman"/>
          <w:sz w:val="28"/>
          <w:lang w:eastAsia="zh-CN"/>
        </w:rPr>
        <w:t>鑫成</w:t>
      </w:r>
      <w:r>
        <w:rPr>
          <w:rFonts w:hint="default" w:ascii="Times New Roman" w:hAnsi="Times New Roman" w:eastAsia="宋体" w:cs="Times New Roman"/>
          <w:sz w:val="28"/>
        </w:rPr>
        <w:t>环境</w:t>
      </w:r>
      <w:r>
        <w:rPr>
          <w:rFonts w:hint="default" w:ascii="Times New Roman" w:hAnsi="Times New Roman" w:eastAsia="宋体" w:cs="Times New Roman"/>
          <w:sz w:val="28"/>
          <w:lang w:eastAsia="zh-CN"/>
        </w:rPr>
        <w:t>保护监测</w:t>
      </w:r>
      <w:r>
        <w:rPr>
          <w:rFonts w:hint="default" w:ascii="Times New Roman" w:hAnsi="Times New Roman" w:eastAsia="宋体" w:cs="Times New Roman"/>
          <w:sz w:val="28"/>
        </w:rPr>
        <w:t>有限公</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sz w:val="28"/>
          <w:lang w:val="en-US" w:eastAsia="zh-CN"/>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表</w:t>
      </w:r>
      <w:r>
        <w:rPr>
          <w:rFonts w:hint="default" w:ascii="Times New Roman" w:hAnsi="Times New Roman" w:eastAsia="宋体" w:cs="Times New Roman"/>
          <w:sz w:val="28"/>
          <w:highlight w:val="none"/>
          <w:lang w:val="en-US" w:eastAsia="zh-CN"/>
        </w:rPr>
        <w:t>：</w:t>
      </w:r>
      <w:r>
        <w:rPr>
          <w:rFonts w:hint="default" w:ascii="Times New Roman" w:hAnsi="Times New Roman" w:eastAsia="宋体" w:cs="Times New Roman"/>
          <w:sz w:val="28"/>
          <w:highlight w:val="none"/>
          <w:lang w:eastAsia="zh-CN"/>
        </w:rPr>
        <w:t>赵威</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联系方式</w:t>
      </w:r>
      <w:r>
        <w:rPr>
          <w:rFonts w:hint="default" w:ascii="Times New Roman" w:hAnsi="Times New Roman" w:eastAsia="宋体" w:cs="Times New Roman"/>
          <w:b w:val="0"/>
          <w:bCs w:val="0"/>
          <w:color w:val="auto"/>
          <w:kern w:val="2"/>
          <w:sz w:val="28"/>
          <w:szCs w:val="28"/>
          <w:highlight w:val="none"/>
          <w:lang w:val="en-US" w:eastAsia="zh-CN"/>
        </w:rPr>
        <w:t>：</w:t>
      </w:r>
      <w:r>
        <w:rPr>
          <w:rFonts w:hint="eastAsia" w:ascii="Times New Roman" w:hAnsi="Times New Roman" w:eastAsia="宋体" w:cs="Times New Roman"/>
          <w:b w:val="0"/>
          <w:bCs w:val="0"/>
          <w:color w:val="auto"/>
          <w:kern w:val="2"/>
          <w:sz w:val="28"/>
          <w:szCs w:val="28"/>
          <w:highlight w:val="none"/>
          <w:lang w:val="en-US" w:eastAsia="zh-CN"/>
        </w:rPr>
        <w:t>13938754651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建设单位：河南华尔尚实业有限公司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：尚士强</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尚士强</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联系方式：13782529599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址：长垣市丁栾镇枣园路66号</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7"/>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年产2.8万件Ⅰ类、Ⅱ类医用卫生材料项目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河南华尔尚实业有限公司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长垣市丁栾镇枣园路66号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无纺布、纱布类</w:t>
            </w:r>
            <w:r>
              <w:rPr>
                <w:rFonts w:hint="eastAsia" w:ascii="Times New Roman" w:hAnsi="Times New Roman" w:cs="Times New Roman" w:eastAsiaTheme="minorEastAsia"/>
                <w:color w:val="auto"/>
                <w:sz w:val="24"/>
                <w:szCs w:val="24"/>
                <w:lang w:val="en-US" w:eastAsia="zh-CN"/>
              </w:rPr>
              <w:t>、包类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2022年11月28日~11月29日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022</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54</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河北城羿环保工程有限公司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7.5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7.5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86"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default" w:ascii="Times New Roman" w:hAnsi="Times New Roman" w:cs="Times New Roman" w:eastAsiaTheme="minorEastAsia"/>
                <w:color w:val="auto"/>
                <w:sz w:val="24"/>
                <w:szCs w:val="24"/>
                <w:lang w:val="en-US" w:eastAsia="zh-CN"/>
              </w:rPr>
              <w:t>河南华尔尚实业有限公司</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auto"/>
                <w:sz w:val="24"/>
                <w:szCs w:val="24"/>
                <w:lang w:val="en-US" w:eastAsia="zh-CN"/>
              </w:rPr>
              <w:t>长垣市丁栾镇枣园路66号</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default" w:ascii="Times New Roman" w:hAnsi="Times New Roman" w:cs="Times New Roman" w:eastAsiaTheme="minorEastAsia"/>
                <w:color w:val="auto"/>
                <w:sz w:val="24"/>
                <w:szCs w:val="24"/>
                <w:lang w:val="en-US" w:eastAsia="zh-CN"/>
              </w:rPr>
              <w:t>年产2.8万件Ⅰ类、Ⅱ类医用卫生材料项目</w:t>
            </w:r>
            <w:r>
              <w:rPr>
                <w:rFonts w:hint="eastAsia" w:ascii="Times New Roman" w:hAnsi="Times New Roman" w:eastAsia="宋体" w:cs="Times New Roman"/>
                <w:bCs/>
                <w:sz w:val="24"/>
                <w:szCs w:val="24"/>
                <w:lang w:eastAsia="zh-CN"/>
              </w:rPr>
              <w:t>。经现场勘查，</w:t>
            </w:r>
            <w:r>
              <w:rPr>
                <w:rFonts w:hint="eastAsia" w:ascii="Times New Roman" w:hAnsi="Times New Roman" w:eastAsia="宋体" w:cs="Times New Roman"/>
                <w:bCs/>
                <w:sz w:val="24"/>
                <w:szCs w:val="24"/>
                <w:lang w:val="en-US" w:eastAsia="zh-CN"/>
              </w:rPr>
              <w:t>本项目建设项目已完成，产能为</w:t>
            </w:r>
            <w:r>
              <w:rPr>
                <w:rFonts w:hint="default" w:ascii="Times New Roman" w:hAnsi="Times New Roman" w:cs="Times New Roman" w:eastAsiaTheme="minorEastAsia"/>
                <w:color w:val="auto"/>
                <w:sz w:val="24"/>
                <w:szCs w:val="24"/>
                <w:lang w:val="en-US" w:eastAsia="zh-CN"/>
              </w:rPr>
              <w:t>年产2.8万件Ⅰ类、Ⅱ类医用卫生材料</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val="en-US" w:eastAsia="zh-CN"/>
              </w:rPr>
              <w:t>项目占地约</w:t>
            </w:r>
            <w:r>
              <w:rPr>
                <w:rFonts w:hint="default" w:ascii="Times New Roman" w:hAnsi="Times New Roman" w:cs="Times New Roman"/>
                <w:sz w:val="24"/>
              </w:rPr>
              <w:t>12500.23</w:t>
            </w:r>
            <w:r>
              <w:rPr>
                <w:rFonts w:hint="eastAsia" w:ascii="Times New Roman" w:hAnsi="Times New Roman" w:eastAsia="宋体" w:cs="Times New Roman"/>
                <w:bCs/>
                <w:sz w:val="24"/>
                <w:szCs w:val="24"/>
                <w:lang w:val="en-US" w:eastAsia="zh-CN"/>
              </w:rPr>
              <w:t>平方米</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22</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6</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lang w:val="en-US" w:eastAsia="zh-CN"/>
              </w:rPr>
              <w:t>河北城羿环保工程有限公司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35"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color w:val="auto"/>
                <w:sz w:val="24"/>
                <w:szCs w:val="24"/>
                <w:lang w:val="en-US" w:eastAsia="zh-CN"/>
              </w:rPr>
              <w:t>河南华尔尚实业有限公司年产2.8万件Ⅰ类、Ⅱ类医用卫生材料项目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河北城羿环保工程有限公司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auto"/>
                <w:sz w:val="24"/>
                <w:szCs w:val="24"/>
                <w:lang w:val="en-US" w:eastAsia="zh-CN"/>
              </w:rPr>
              <w:t>河南华尔尚实业有限公司年产2.8万件Ⅰ类、Ⅱ类医用卫生材料项目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2022</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21</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35"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7"/>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pStyle w:val="22"/>
              <w:keepNext w:val="0"/>
              <w:keepLines w:val="0"/>
              <w:pageBreakBefore w:val="0"/>
              <w:widowControl/>
              <w:tabs>
                <w:tab w:val="left" w:pos="1367"/>
                <w:tab w:val="left" w:pos="3032"/>
              </w:tabs>
              <w:kinsoku/>
              <w:wordWrap/>
              <w:overflowPunct/>
              <w:topLinePunct w:val="0"/>
              <w:autoSpaceDE/>
              <w:autoSpaceDN/>
              <w:bidi w:val="0"/>
              <w:adjustRightInd/>
              <w:snapToGrid w:val="0"/>
              <w:spacing w:after="0" w:line="5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本项目厂界噪声执行</w:t>
            </w:r>
            <w:r>
              <w:rPr>
                <w:rFonts w:hint="default" w:ascii="Times New Roman" w:hAnsi="Times New Roman" w:eastAsia="宋体" w:cs="Times New Roman"/>
                <w:b w:val="0"/>
                <w:bCs w:val="0"/>
                <w:color w:val="auto"/>
                <w:sz w:val="24"/>
                <w:szCs w:val="24"/>
                <w:lang w:val="en-US" w:eastAsia="zh-CN" w:bidi="ar-SA"/>
              </w:rPr>
              <w:t>《工业企业厂界环境噪声排放标准》（GB12348-2008）</w:t>
            </w:r>
            <w:r>
              <w:rPr>
                <w:rFonts w:hint="eastAsia" w:ascii="Times New Roman" w:hAnsi="Times New Roman" w:eastAsia="宋体" w:cs="Times New Roman"/>
                <w:b w:val="0"/>
                <w:bCs w:val="0"/>
                <w:color w:val="auto"/>
                <w:sz w:val="24"/>
                <w:szCs w:val="24"/>
                <w:lang w:val="en-US" w:eastAsia="zh-CN" w:bidi="ar-SA"/>
              </w:rPr>
              <w:t>表1中</w:t>
            </w:r>
            <w:r>
              <w:rPr>
                <w:rFonts w:hint="default" w:ascii="Times New Roman" w:hAnsi="Times New Roman" w:eastAsia="宋体" w:cs="Times New Roman"/>
                <w:b w:val="0"/>
                <w:bCs w:val="0"/>
                <w:color w:val="auto"/>
                <w:sz w:val="24"/>
                <w:szCs w:val="24"/>
                <w:lang w:val="en-US" w:eastAsia="zh-CN" w:bidi="ar-SA"/>
              </w:rPr>
              <w:t>2 类标准</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昼间60 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夜间50dB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w:t>
            </w:r>
          </w:p>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7"/>
              <w:tblW w:w="7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665"/>
              <w:gridCol w:w="1125"/>
              <w:gridCol w:w="930"/>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2"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标准编号</w:t>
                  </w:r>
                </w:p>
              </w:tc>
              <w:tc>
                <w:tcPr>
                  <w:tcW w:w="1665"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标准名称</w:t>
                  </w:r>
                </w:p>
              </w:tc>
              <w:tc>
                <w:tcPr>
                  <w:tcW w:w="1125"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执行级别</w:t>
                  </w:r>
                </w:p>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（类别）</w:t>
                  </w:r>
                </w:p>
              </w:tc>
              <w:tc>
                <w:tcPr>
                  <w:tcW w:w="3256" w:type="dxa"/>
                  <w:gridSpan w:val="2"/>
                  <w:tcBorders>
                    <w:bottom w:val="single" w:color="000000" w:sz="4" w:space="0"/>
                  </w:tcBorders>
                  <w:noWrap w:val="0"/>
                  <w:vAlign w:val="center"/>
                </w:tcPr>
                <w:p>
                  <w:pPr>
                    <w:pStyle w:val="41"/>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32"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665"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125"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930" w:type="dxa"/>
                  <w:tcBorders>
                    <w:top w:val="single" w:color="000000" w:sz="4" w:space="0"/>
                  </w:tcBorders>
                  <w:noWrap w:val="0"/>
                  <w:vAlign w:val="center"/>
                </w:tcPr>
                <w:p>
                  <w:pPr>
                    <w:pStyle w:val="41"/>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参数</w:t>
                  </w:r>
                </w:p>
              </w:tc>
              <w:tc>
                <w:tcPr>
                  <w:tcW w:w="2326" w:type="dxa"/>
                  <w:tcBorders>
                    <w:top w:val="single" w:color="000000" w:sz="4" w:space="0"/>
                  </w:tcBorders>
                  <w:noWrap w:val="0"/>
                  <w:vAlign w:val="center"/>
                </w:tcPr>
                <w:p>
                  <w:pPr>
                    <w:pStyle w:val="41"/>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dxa"/>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GB16297</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-1996</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《大气污染物</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综合排放标准》</w:t>
                  </w:r>
                </w:p>
              </w:tc>
              <w:tc>
                <w:tcPr>
                  <w:tcW w:w="112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表2</w:t>
                  </w:r>
                </w:p>
              </w:tc>
              <w:tc>
                <w:tcPr>
                  <w:tcW w:w="930" w:type="dxa"/>
                  <w:vMerge w:val="restar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非甲烷总烃</w:t>
                  </w:r>
                </w:p>
              </w:tc>
              <w:tc>
                <w:tcPr>
                  <w:tcW w:w="2326" w:type="dxa"/>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有组织：</w:t>
                  </w:r>
                  <w:r>
                    <w:rPr>
                      <w:rFonts w:hint="eastAsia" w:ascii="Times New Roman" w:hAnsi="Times New Roman" w:eastAsia="宋体" w:cs="Times New Roman"/>
                      <w:b w:val="0"/>
                      <w:bCs w:val="0"/>
                      <w:color w:val="000000"/>
                      <w:sz w:val="21"/>
                      <w:szCs w:val="21"/>
                      <w:u w:val="none"/>
                      <w:lang w:eastAsia="zh-CN"/>
                    </w:rPr>
                    <w:t>排放速率</w:t>
                  </w:r>
                  <w:r>
                    <w:rPr>
                      <w:rFonts w:hint="default" w:ascii="Times New Roman" w:hAnsi="Times New Roman" w:eastAsia="宋体" w:cs="Times New Roman"/>
                      <w:b w:val="0"/>
                      <w:bCs w:val="0"/>
                      <w:color w:val="000000"/>
                      <w:sz w:val="21"/>
                      <w:szCs w:val="21"/>
                      <w:u w:val="none"/>
                    </w:rPr>
                    <w:t>10kg/h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restart"/>
                  <w:tcBorders>
                    <w:top w:val="single" w:color="000000" w:sz="4" w:space="0"/>
                  </w:tcBorders>
                  <w:noWrap w:val="0"/>
                  <w:vAlign w:val="center"/>
                </w:tcPr>
                <w:p>
                  <w:pPr>
                    <w:pStyle w:val="8"/>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eastAsia="宋体" w:cs="Times New Roman"/>
                      <w:b w:val="0"/>
                      <w:bCs w:val="0"/>
                      <w:color w:val="000000"/>
                      <w:sz w:val="21"/>
                      <w:szCs w:val="21"/>
                      <w:u w:val="none"/>
                      <w:lang w:val="en-US" w:eastAsia="zh-CN" w:bidi="ar-SA"/>
                    </w:rPr>
                  </w:pPr>
                  <w:r>
                    <w:rPr>
                      <w:rFonts w:hint="default" w:ascii="Times New Roman" w:hAnsi="Times New Roman" w:eastAsia="宋体" w:cs="Times New Roman"/>
                      <w:b w:val="0"/>
                      <w:bCs w:val="0"/>
                      <w:color w:val="000000"/>
                      <w:sz w:val="21"/>
                      <w:szCs w:val="21"/>
                      <w:u w:val="none"/>
                      <w:lang w:val="en-US" w:eastAsia="zh-CN" w:bidi="ar-SA"/>
                    </w:rPr>
                    <w:t>《关于全省开展工业企业挥发性有机物专项治理工作中排放建议值的通知》（豫环攻坚办〔2017〕162号）排放标准</w:t>
                  </w:r>
                </w:p>
              </w:tc>
              <w:tc>
                <w:tcPr>
                  <w:tcW w:w="93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bottom w:val="single" w:color="000000" w:sz="4" w:space="0"/>
                  </w:tcBorders>
                  <w:noWrap w:val="0"/>
                  <w:vAlign w:val="center"/>
                </w:tcPr>
                <w:p>
                  <w:pPr>
                    <w:pStyle w:val="43"/>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sz w:val="21"/>
                      <w:szCs w:val="21"/>
                      <w:vertAlign w:val="superscript"/>
                    </w:rPr>
                  </w:pPr>
                  <w:r>
                    <w:rPr>
                      <w:rFonts w:hint="default" w:ascii="Times New Roman" w:hAnsi="Times New Roman" w:eastAsia="宋体" w:cs="Times New Roman"/>
                      <w:b w:val="0"/>
                      <w:sz w:val="21"/>
                      <w:szCs w:val="21"/>
                      <w:lang w:eastAsia="zh-CN"/>
                    </w:rPr>
                    <w:t>其他行业</w:t>
                  </w:r>
                  <w:r>
                    <w:rPr>
                      <w:rFonts w:hint="default" w:ascii="Times New Roman" w:hAnsi="Times New Roman" w:eastAsia="宋体" w:cs="Times New Roman"/>
                      <w:b w:val="0"/>
                      <w:sz w:val="21"/>
                      <w:szCs w:val="21"/>
                    </w:rPr>
                    <w:t>工业：</w:t>
                  </w:r>
                  <w:r>
                    <w:rPr>
                      <w:rFonts w:hint="default" w:ascii="Times New Roman" w:hAnsi="Times New Roman" w:eastAsia="宋体" w:cs="Times New Roman"/>
                      <w:b w:val="0"/>
                      <w:sz w:val="21"/>
                      <w:szCs w:val="21"/>
                      <w:lang w:val="en-US" w:eastAsia="zh-CN"/>
                    </w:rPr>
                    <w:t>8</w:t>
                  </w:r>
                  <w:r>
                    <w:rPr>
                      <w:rFonts w:hint="default" w:ascii="Times New Roman" w:hAnsi="Times New Roman" w:eastAsia="宋体" w:cs="Times New Roman"/>
                      <w:b w:val="0"/>
                      <w:sz w:val="21"/>
                      <w:szCs w:val="21"/>
                    </w:rPr>
                    <w:t>0mg/m</w:t>
                  </w:r>
                  <w:r>
                    <w:rPr>
                      <w:rFonts w:hint="default" w:ascii="Times New Roman" w:hAnsi="Times New Roman" w:eastAsia="宋体" w:cs="Times New Roman"/>
                      <w:b w:val="0"/>
                      <w:sz w:val="21"/>
                      <w:szCs w:val="21"/>
                      <w:vertAlign w:val="superscript"/>
                    </w:rPr>
                    <w:t>3</w:t>
                  </w:r>
                </w:p>
                <w:p>
                  <w:pPr>
                    <w:pStyle w:val="43"/>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sz w:val="21"/>
                      <w:szCs w:val="21"/>
                    </w:rPr>
                    <w:t>（建议去除率</w:t>
                  </w:r>
                  <w:r>
                    <w:rPr>
                      <w:rFonts w:hint="default" w:ascii="Times New Roman" w:hAnsi="Times New Roman" w:eastAsia="宋体" w:cs="Times New Roman"/>
                      <w:b w:val="0"/>
                      <w:sz w:val="21"/>
                      <w:szCs w:val="21"/>
                      <w:lang w:val="en-US" w:eastAsia="zh-CN"/>
                    </w:rPr>
                    <w:t>7</w:t>
                  </w:r>
                  <w:r>
                    <w:rPr>
                      <w:rFonts w:hint="default" w:ascii="Times New Roman" w:hAnsi="Times New Roman" w:eastAsia="宋体" w:cs="Times New Roman"/>
                      <w:b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continue"/>
                  <w:noWrap w:val="0"/>
                  <w:vAlign w:val="center"/>
                </w:tcPr>
                <w:p>
                  <w:pPr>
                    <w:pStyle w:val="8"/>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cs="Times New Roman"/>
                      <w:color w:val="000000"/>
                      <w:szCs w:val="21"/>
                    </w:rPr>
                  </w:pPr>
                </w:p>
              </w:tc>
              <w:tc>
                <w:tcPr>
                  <w:tcW w:w="93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tcBorders>
                  <w:noWrap w:val="0"/>
                  <w:vAlign w:val="center"/>
                </w:tcPr>
                <w:p>
                  <w:pPr>
                    <w:pStyle w:val="43"/>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bCs/>
                      <w:color w:val="000000"/>
                      <w:sz w:val="21"/>
                      <w:szCs w:val="21"/>
                      <w:vertAlign w:val="superscript"/>
                    </w:rPr>
                  </w:pPr>
                  <w:r>
                    <w:rPr>
                      <w:rFonts w:hint="default" w:ascii="Times New Roman" w:hAnsi="Times New Roman" w:eastAsia="宋体" w:cs="Times New Roman"/>
                      <w:b w:val="0"/>
                      <w:bCs/>
                      <w:color w:val="000000"/>
                      <w:sz w:val="21"/>
                      <w:szCs w:val="21"/>
                    </w:rPr>
                    <w:t>2.0mg/m</w:t>
                  </w:r>
                  <w:r>
                    <w:rPr>
                      <w:rFonts w:hint="default" w:ascii="Times New Roman" w:hAnsi="Times New Roman" w:eastAsia="宋体" w:cs="Times New Roman"/>
                      <w:b w:val="0"/>
                      <w:bCs/>
                      <w:color w:val="000000"/>
                      <w:sz w:val="21"/>
                      <w:szCs w:val="21"/>
                      <w:vertAlign w:val="superscript"/>
                    </w:rPr>
                    <w:t>3</w:t>
                  </w:r>
                </w:p>
                <w:p>
                  <w:pPr>
                    <w:pStyle w:val="43"/>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bCs/>
                      <w:color w:val="000000"/>
                      <w:sz w:val="21"/>
                      <w:szCs w:val="21"/>
                    </w:rPr>
                    <w:t>（工业企业边界）</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一般固废执行</w:t>
            </w:r>
            <w:r>
              <w:rPr>
                <w:rFonts w:hint="eastAsia" w:ascii="Times New Roman" w:hAnsi="Times New Roman" w:cs="Times New Roman" w:eastAsiaTheme="minorEastAsia"/>
                <w:sz w:val="24"/>
                <w:szCs w:val="24"/>
                <w:lang w:val="en-US" w:eastAsia="zh-CN"/>
              </w:rPr>
              <w:t>《一般工业固体废物贮存和填埋污染控制标准》（GB18599-2020）。</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w:t>
            </w:r>
            <w:r>
              <w:rPr>
                <w:rFonts w:hint="default" w:ascii="Times New Roman" w:hAnsi="Times New Roman" w:cs="Times New Roman" w:eastAsiaTheme="minorEastAsia"/>
                <w:sz w:val="24"/>
                <w:szCs w:val="24"/>
                <w:lang w:val="en-US" w:eastAsia="zh-CN"/>
              </w:rPr>
              <w:t>及修改单</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7"/>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河南华尔尚实业有限公司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年产2.8万件Ⅰ类、Ⅱ类医用卫生材料项目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长垣市丁栾镇枣园路66号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12500.23</w:t>
                  </w:r>
                  <w:r>
                    <w:rPr>
                      <w:rFonts w:hint="eastAsia" w:ascii="Times New Roman" w:hAnsi="Times New Roman" w:cs="Times New Roman" w:eastAsiaTheme="minorEastAsia"/>
                      <w:sz w:val="21"/>
                      <w:szCs w:val="21"/>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7"/>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3"/>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kern w:val="0"/>
                      <w:sz w:val="21"/>
                      <w:szCs w:val="21"/>
                    </w:rPr>
                    <w:t>生产楼</w:t>
                  </w:r>
                </w:p>
              </w:tc>
              <w:tc>
                <w:tcPr>
                  <w:tcW w:w="3250"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kern w:val="0"/>
                      <w:sz w:val="21"/>
                      <w:szCs w:val="21"/>
                      <w:highlight w:val="none"/>
                    </w:rPr>
                    <w:t>建筑面积</w:t>
                  </w:r>
                  <w:r>
                    <w:rPr>
                      <w:rFonts w:hint="eastAsia" w:ascii="Times New Roman" w:hAnsi="Times New Roman" w:eastAsia="宋体" w:cs="Times New Roman"/>
                      <w:kern w:val="0"/>
                      <w:sz w:val="21"/>
                      <w:szCs w:val="21"/>
                      <w:highlight w:val="none"/>
                      <w:lang w:val="en-US" w:eastAsia="zh-CN"/>
                    </w:rPr>
                    <w:t>8400</w:t>
                  </w:r>
                  <w:r>
                    <w:rPr>
                      <w:rFonts w:hint="default" w:ascii="Times New Roman" w:hAnsi="Times New Roman" w:eastAsia="宋体" w:cs="Times New Roman"/>
                      <w:kern w:val="0"/>
                      <w:sz w:val="21"/>
                      <w:szCs w:val="21"/>
                      <w:highlight w:val="none"/>
                    </w:rPr>
                    <w:t>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，共四层，其中一层主要为原料</w:t>
                  </w:r>
                  <w:r>
                    <w:rPr>
                      <w:rFonts w:hint="default" w:ascii="Times New Roman" w:hAnsi="Times New Roman" w:eastAsia="宋体" w:cs="Times New Roman"/>
                      <w:kern w:val="0"/>
                      <w:sz w:val="21"/>
                      <w:szCs w:val="21"/>
                      <w:highlight w:val="none"/>
                      <w:lang w:eastAsia="zh-CN"/>
                    </w:rPr>
                    <w:t>储存、</w:t>
                  </w:r>
                  <w:r>
                    <w:rPr>
                      <w:rFonts w:hint="default" w:ascii="Times New Roman" w:hAnsi="Times New Roman" w:eastAsia="宋体" w:cs="Times New Roman"/>
                      <w:kern w:val="0"/>
                      <w:sz w:val="21"/>
                      <w:szCs w:val="21"/>
                      <w:highlight w:val="none"/>
                    </w:rPr>
                    <w:t>成品</w:t>
                  </w:r>
                  <w:r>
                    <w:rPr>
                      <w:rFonts w:hint="default" w:ascii="Times New Roman" w:hAnsi="Times New Roman" w:eastAsia="宋体" w:cs="Times New Roman"/>
                      <w:kern w:val="0"/>
                      <w:sz w:val="21"/>
                      <w:szCs w:val="21"/>
                      <w:highlight w:val="none"/>
                      <w:lang w:eastAsia="zh-CN"/>
                    </w:rPr>
                    <w:t>储存和灭菌解析</w:t>
                  </w:r>
                  <w:r>
                    <w:rPr>
                      <w:rFonts w:hint="default" w:ascii="Times New Roman" w:hAnsi="Times New Roman" w:eastAsia="宋体" w:cs="Times New Roman"/>
                      <w:kern w:val="0"/>
                      <w:sz w:val="21"/>
                      <w:szCs w:val="21"/>
                      <w:highlight w:val="none"/>
                    </w:rPr>
                    <w:t>；二层主要为</w:t>
                  </w:r>
                  <w:r>
                    <w:rPr>
                      <w:rFonts w:hint="default" w:ascii="Times New Roman" w:hAnsi="Times New Roman" w:eastAsia="宋体" w:cs="Times New Roman"/>
                      <w:kern w:val="0"/>
                      <w:sz w:val="21"/>
                      <w:szCs w:val="21"/>
                      <w:highlight w:val="none"/>
                      <w:lang w:eastAsia="zh-CN"/>
                    </w:rPr>
                    <w:t>鞋套、隔离衣、隔离面屏、纱布绷带等</w:t>
                  </w:r>
                  <w:r>
                    <w:rPr>
                      <w:rFonts w:hint="default" w:ascii="Times New Roman" w:hAnsi="Times New Roman" w:eastAsia="宋体" w:cs="Times New Roman"/>
                      <w:kern w:val="0"/>
                      <w:sz w:val="21"/>
                      <w:szCs w:val="21"/>
                      <w:highlight w:val="none"/>
                    </w:rPr>
                    <w:t>Ⅰ类产品</w:t>
                  </w:r>
                  <w:r>
                    <w:rPr>
                      <w:rFonts w:hint="default" w:ascii="Times New Roman" w:hAnsi="Times New Roman" w:eastAsia="宋体" w:cs="Times New Roman"/>
                      <w:kern w:val="0"/>
                      <w:sz w:val="21"/>
                      <w:szCs w:val="21"/>
                      <w:highlight w:val="none"/>
                      <w:lang w:eastAsia="zh-CN"/>
                    </w:rPr>
                    <w:t>生产；三层主要为医用帽、护理垫单、棉球等产品生产；</w:t>
                  </w:r>
                  <w:r>
                    <w:rPr>
                      <w:rFonts w:hint="default" w:ascii="Times New Roman" w:hAnsi="Times New Roman" w:eastAsia="宋体" w:cs="Times New Roman"/>
                      <w:kern w:val="0"/>
                      <w:sz w:val="21"/>
                      <w:szCs w:val="21"/>
                      <w:highlight w:val="none"/>
                    </w:rPr>
                    <w:t>四层为</w:t>
                  </w:r>
                  <w:r>
                    <w:rPr>
                      <w:rFonts w:hint="default" w:ascii="Times New Roman" w:hAnsi="Times New Roman" w:eastAsia="宋体" w:cs="Times New Roman"/>
                      <w:kern w:val="0"/>
                      <w:sz w:val="21"/>
                      <w:szCs w:val="21"/>
                      <w:highlight w:val="none"/>
                      <w:lang w:eastAsia="zh-CN"/>
                    </w:rPr>
                    <w:t>防护服、手术衣、口罩、包类</w:t>
                  </w:r>
                  <w:r>
                    <w:rPr>
                      <w:rFonts w:hint="default" w:ascii="Times New Roman" w:hAnsi="Times New Roman" w:eastAsia="宋体" w:cs="Times New Roman"/>
                      <w:kern w:val="0"/>
                      <w:sz w:val="21"/>
                      <w:szCs w:val="21"/>
                      <w:highlight w:val="none"/>
                    </w:rPr>
                    <w:t>等Ⅱ类产品生产。</w:t>
                  </w:r>
                </w:p>
              </w:tc>
              <w:tc>
                <w:tcPr>
                  <w:tcW w:w="3073"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kern w:val="0"/>
                      <w:sz w:val="21"/>
                      <w:szCs w:val="21"/>
                      <w:highlight w:val="none"/>
                    </w:rPr>
                    <w:t>建筑面积</w:t>
                  </w:r>
                  <w:r>
                    <w:rPr>
                      <w:rFonts w:hint="eastAsia" w:ascii="Times New Roman" w:hAnsi="Times New Roman" w:eastAsia="宋体" w:cs="Times New Roman"/>
                      <w:kern w:val="0"/>
                      <w:sz w:val="21"/>
                      <w:szCs w:val="21"/>
                      <w:highlight w:val="none"/>
                      <w:lang w:val="en-US" w:eastAsia="zh-CN"/>
                    </w:rPr>
                    <w:t>8400</w:t>
                  </w:r>
                  <w:r>
                    <w:rPr>
                      <w:rFonts w:hint="default" w:ascii="Times New Roman" w:hAnsi="Times New Roman" w:eastAsia="宋体" w:cs="Times New Roman"/>
                      <w:kern w:val="0"/>
                      <w:sz w:val="21"/>
                      <w:szCs w:val="21"/>
                      <w:highlight w:val="none"/>
                    </w:rPr>
                    <w:t>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，共四层，其中一层主要为原料</w:t>
                  </w:r>
                  <w:r>
                    <w:rPr>
                      <w:rFonts w:hint="default" w:ascii="Times New Roman" w:hAnsi="Times New Roman" w:eastAsia="宋体" w:cs="Times New Roman"/>
                      <w:kern w:val="0"/>
                      <w:sz w:val="21"/>
                      <w:szCs w:val="21"/>
                      <w:highlight w:val="none"/>
                      <w:lang w:eastAsia="zh-CN"/>
                    </w:rPr>
                    <w:t>储存、</w:t>
                  </w:r>
                  <w:r>
                    <w:rPr>
                      <w:rFonts w:hint="default" w:ascii="Times New Roman" w:hAnsi="Times New Roman" w:eastAsia="宋体" w:cs="Times New Roman"/>
                      <w:kern w:val="0"/>
                      <w:sz w:val="21"/>
                      <w:szCs w:val="21"/>
                      <w:highlight w:val="none"/>
                    </w:rPr>
                    <w:t>成品</w:t>
                  </w:r>
                  <w:r>
                    <w:rPr>
                      <w:rFonts w:hint="default" w:ascii="Times New Roman" w:hAnsi="Times New Roman" w:eastAsia="宋体" w:cs="Times New Roman"/>
                      <w:kern w:val="0"/>
                      <w:sz w:val="21"/>
                      <w:szCs w:val="21"/>
                      <w:highlight w:val="none"/>
                      <w:lang w:eastAsia="zh-CN"/>
                    </w:rPr>
                    <w:t>储存和灭菌解析</w:t>
                  </w:r>
                  <w:r>
                    <w:rPr>
                      <w:rFonts w:hint="default" w:ascii="Times New Roman" w:hAnsi="Times New Roman" w:eastAsia="宋体" w:cs="Times New Roman"/>
                      <w:kern w:val="0"/>
                      <w:sz w:val="21"/>
                      <w:szCs w:val="21"/>
                      <w:highlight w:val="none"/>
                    </w:rPr>
                    <w:t>；二层主要为</w:t>
                  </w:r>
                  <w:r>
                    <w:rPr>
                      <w:rFonts w:hint="default" w:ascii="Times New Roman" w:hAnsi="Times New Roman" w:eastAsia="宋体" w:cs="Times New Roman"/>
                      <w:kern w:val="0"/>
                      <w:sz w:val="21"/>
                      <w:szCs w:val="21"/>
                      <w:highlight w:val="none"/>
                      <w:lang w:eastAsia="zh-CN"/>
                    </w:rPr>
                    <w:t>鞋套、隔离衣、隔离面屏、纱布绷带等</w:t>
                  </w:r>
                  <w:r>
                    <w:rPr>
                      <w:rFonts w:hint="default" w:ascii="Times New Roman" w:hAnsi="Times New Roman" w:eastAsia="宋体" w:cs="Times New Roman"/>
                      <w:kern w:val="0"/>
                      <w:sz w:val="21"/>
                      <w:szCs w:val="21"/>
                      <w:highlight w:val="none"/>
                    </w:rPr>
                    <w:t>Ⅰ类产品</w:t>
                  </w:r>
                  <w:r>
                    <w:rPr>
                      <w:rFonts w:hint="default" w:ascii="Times New Roman" w:hAnsi="Times New Roman" w:eastAsia="宋体" w:cs="Times New Roman"/>
                      <w:kern w:val="0"/>
                      <w:sz w:val="21"/>
                      <w:szCs w:val="21"/>
                      <w:highlight w:val="none"/>
                      <w:lang w:eastAsia="zh-CN"/>
                    </w:rPr>
                    <w:t>生产；三层主要为医用帽、护理垫单、棉球等产品生产；</w:t>
                  </w:r>
                  <w:r>
                    <w:rPr>
                      <w:rFonts w:hint="default" w:ascii="Times New Roman" w:hAnsi="Times New Roman" w:eastAsia="宋体" w:cs="Times New Roman"/>
                      <w:kern w:val="0"/>
                      <w:sz w:val="21"/>
                      <w:szCs w:val="21"/>
                      <w:highlight w:val="none"/>
                    </w:rPr>
                    <w:t>四层为</w:t>
                  </w:r>
                  <w:r>
                    <w:rPr>
                      <w:rFonts w:hint="default" w:ascii="Times New Roman" w:hAnsi="Times New Roman" w:eastAsia="宋体" w:cs="Times New Roman"/>
                      <w:kern w:val="0"/>
                      <w:sz w:val="21"/>
                      <w:szCs w:val="21"/>
                      <w:highlight w:val="none"/>
                      <w:lang w:eastAsia="zh-CN"/>
                    </w:rPr>
                    <w:t>防护服、手术衣、口罩、包类</w:t>
                  </w:r>
                  <w:r>
                    <w:rPr>
                      <w:rFonts w:hint="default" w:ascii="Times New Roman" w:hAnsi="Times New Roman" w:eastAsia="宋体" w:cs="Times New Roman"/>
                      <w:kern w:val="0"/>
                      <w:sz w:val="21"/>
                      <w:szCs w:val="21"/>
                      <w:highlight w:val="none"/>
                    </w:rPr>
                    <w:t>等Ⅱ类产品生产。</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4"/>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073" w:type="dxa"/>
                  <w:tcBorders>
                    <w:bottom w:val="single" w:color="auto" w:sz="4" w:space="0"/>
                    <w:tl2br w:val="nil"/>
                    <w:tr2bl w:val="nil"/>
                  </w:tcBorders>
                  <w:vAlign w:val="center"/>
                </w:tcPr>
                <w:p>
                  <w:pPr>
                    <w:pStyle w:val="23"/>
                    <w:jc w:val="center"/>
                    <w:textAlignment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办公楼</w:t>
                  </w:r>
                </w:p>
              </w:tc>
              <w:tc>
                <w:tcPr>
                  <w:tcW w:w="3250"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建筑面积</w:t>
                  </w:r>
                  <w:r>
                    <w:rPr>
                      <w:rFonts w:hint="eastAsia" w:ascii="Times New Roman" w:hAnsi="Times New Roman" w:eastAsia="宋体" w:cs="Times New Roman"/>
                      <w:kern w:val="0"/>
                      <w:sz w:val="21"/>
                      <w:szCs w:val="21"/>
                      <w:lang w:val="en-US" w:eastAsia="zh-CN"/>
                    </w:rPr>
                    <w:t>48</w:t>
                  </w:r>
                  <w:r>
                    <w:rPr>
                      <w:rFonts w:hint="default" w:ascii="Times New Roman" w:hAnsi="Times New Roman" w:eastAsia="宋体" w:cs="Times New Roman"/>
                      <w:kern w:val="0"/>
                      <w:sz w:val="21"/>
                      <w:szCs w:val="21"/>
                    </w:rPr>
                    <w:t>56m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，共四层，其中一层</w:t>
                  </w:r>
                  <w:r>
                    <w:rPr>
                      <w:rFonts w:hint="eastAsia" w:ascii="Times New Roman" w:hAnsi="Times New Roman" w:eastAsia="宋体" w:cs="Times New Roman"/>
                      <w:kern w:val="0"/>
                      <w:sz w:val="21"/>
                      <w:szCs w:val="21"/>
                      <w:lang w:eastAsia="zh-CN"/>
                    </w:rPr>
                    <w:t>展厅</w:t>
                  </w:r>
                  <w:r>
                    <w:rPr>
                      <w:rFonts w:hint="default" w:ascii="Times New Roman" w:hAnsi="Times New Roman" w:eastAsia="宋体" w:cs="Times New Roman"/>
                      <w:kern w:val="0"/>
                      <w:sz w:val="21"/>
                      <w:szCs w:val="21"/>
                    </w:rPr>
                    <w:t>；二层</w:t>
                  </w:r>
                  <w:r>
                    <w:rPr>
                      <w:rFonts w:hint="eastAsia" w:ascii="Times New Roman" w:hAnsi="Times New Roman" w:eastAsia="宋体" w:cs="Times New Roman"/>
                      <w:kern w:val="0"/>
                      <w:sz w:val="21"/>
                      <w:szCs w:val="21"/>
                      <w:lang w:eastAsia="zh-CN"/>
                    </w:rPr>
                    <w:t>办公</w:t>
                  </w:r>
                  <w:r>
                    <w:rPr>
                      <w:rFonts w:hint="default" w:ascii="Times New Roman" w:hAnsi="Times New Roman" w:eastAsia="宋体" w:cs="Times New Roman"/>
                      <w:kern w:val="0"/>
                      <w:sz w:val="21"/>
                      <w:szCs w:val="21"/>
                      <w:lang w:eastAsia="zh-CN"/>
                    </w:rPr>
                    <w:t>；三</w:t>
                  </w:r>
                  <w:r>
                    <w:rPr>
                      <w:rFonts w:hint="eastAsia" w:ascii="Times New Roman" w:hAnsi="Times New Roman" w:eastAsia="宋体" w:cs="Times New Roman"/>
                      <w:kern w:val="0"/>
                      <w:sz w:val="21"/>
                      <w:szCs w:val="21"/>
                      <w:lang w:eastAsia="zh-CN"/>
                    </w:rPr>
                    <w:t>层、</w:t>
                  </w:r>
                  <w:r>
                    <w:rPr>
                      <w:rFonts w:hint="default" w:ascii="Times New Roman" w:hAnsi="Times New Roman" w:eastAsia="宋体" w:cs="Times New Roman"/>
                      <w:kern w:val="0"/>
                      <w:sz w:val="21"/>
                      <w:szCs w:val="21"/>
                    </w:rPr>
                    <w:t>四层</w:t>
                  </w:r>
                  <w:r>
                    <w:rPr>
                      <w:rFonts w:hint="eastAsia" w:ascii="Times New Roman" w:hAnsi="Times New Roman" w:eastAsia="宋体" w:cs="Times New Roman"/>
                      <w:kern w:val="0"/>
                      <w:sz w:val="21"/>
                      <w:szCs w:val="21"/>
                      <w:lang w:eastAsia="zh-CN"/>
                    </w:rPr>
                    <w:t>闲置</w:t>
                  </w:r>
                  <w:r>
                    <w:rPr>
                      <w:rFonts w:hint="default" w:ascii="Times New Roman" w:hAnsi="Times New Roman" w:eastAsia="宋体" w:cs="Times New Roman"/>
                      <w:kern w:val="0"/>
                      <w:sz w:val="21"/>
                      <w:szCs w:val="21"/>
                    </w:rPr>
                    <w:t>。</w:t>
                  </w:r>
                </w:p>
              </w:tc>
              <w:tc>
                <w:tcPr>
                  <w:tcW w:w="3073"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建筑面积</w:t>
                  </w:r>
                  <w:r>
                    <w:rPr>
                      <w:rFonts w:hint="eastAsia" w:ascii="Times New Roman" w:hAnsi="Times New Roman" w:eastAsia="宋体" w:cs="Times New Roman"/>
                      <w:kern w:val="0"/>
                      <w:sz w:val="21"/>
                      <w:szCs w:val="21"/>
                      <w:lang w:val="en-US" w:eastAsia="zh-CN"/>
                    </w:rPr>
                    <w:t>48</w:t>
                  </w:r>
                  <w:r>
                    <w:rPr>
                      <w:rFonts w:hint="default" w:ascii="Times New Roman" w:hAnsi="Times New Roman" w:eastAsia="宋体" w:cs="Times New Roman"/>
                      <w:kern w:val="0"/>
                      <w:sz w:val="21"/>
                      <w:szCs w:val="21"/>
                    </w:rPr>
                    <w:t>56m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，共四层，其中一层</w:t>
                  </w:r>
                  <w:r>
                    <w:rPr>
                      <w:rFonts w:hint="eastAsia" w:ascii="Times New Roman" w:hAnsi="Times New Roman" w:eastAsia="宋体" w:cs="Times New Roman"/>
                      <w:kern w:val="0"/>
                      <w:sz w:val="21"/>
                      <w:szCs w:val="21"/>
                      <w:lang w:eastAsia="zh-CN"/>
                    </w:rPr>
                    <w:t>展厅</w:t>
                  </w:r>
                  <w:r>
                    <w:rPr>
                      <w:rFonts w:hint="default" w:ascii="Times New Roman" w:hAnsi="Times New Roman" w:eastAsia="宋体" w:cs="Times New Roman"/>
                      <w:kern w:val="0"/>
                      <w:sz w:val="21"/>
                      <w:szCs w:val="21"/>
                    </w:rPr>
                    <w:t>；二层</w:t>
                  </w:r>
                  <w:r>
                    <w:rPr>
                      <w:rFonts w:hint="eastAsia" w:ascii="Times New Roman" w:hAnsi="Times New Roman" w:eastAsia="宋体" w:cs="Times New Roman"/>
                      <w:kern w:val="0"/>
                      <w:sz w:val="21"/>
                      <w:szCs w:val="21"/>
                      <w:lang w:eastAsia="zh-CN"/>
                    </w:rPr>
                    <w:t>办公</w:t>
                  </w:r>
                  <w:r>
                    <w:rPr>
                      <w:rFonts w:hint="default" w:ascii="Times New Roman" w:hAnsi="Times New Roman" w:eastAsia="宋体" w:cs="Times New Roman"/>
                      <w:kern w:val="0"/>
                      <w:sz w:val="21"/>
                      <w:szCs w:val="21"/>
                      <w:lang w:eastAsia="zh-CN"/>
                    </w:rPr>
                    <w:t>；三</w:t>
                  </w:r>
                  <w:r>
                    <w:rPr>
                      <w:rFonts w:hint="eastAsia" w:ascii="Times New Roman" w:hAnsi="Times New Roman" w:eastAsia="宋体" w:cs="Times New Roman"/>
                      <w:kern w:val="0"/>
                      <w:sz w:val="21"/>
                      <w:szCs w:val="21"/>
                      <w:lang w:eastAsia="zh-CN"/>
                    </w:rPr>
                    <w:t>层、</w:t>
                  </w:r>
                  <w:r>
                    <w:rPr>
                      <w:rFonts w:hint="default" w:ascii="Times New Roman" w:hAnsi="Times New Roman" w:eastAsia="宋体" w:cs="Times New Roman"/>
                      <w:kern w:val="0"/>
                      <w:sz w:val="21"/>
                      <w:szCs w:val="21"/>
                    </w:rPr>
                    <w:t>四层</w:t>
                  </w:r>
                  <w:r>
                    <w:rPr>
                      <w:rFonts w:hint="eastAsia" w:ascii="Times New Roman" w:hAnsi="Times New Roman" w:eastAsia="宋体" w:cs="Times New Roman"/>
                      <w:kern w:val="0"/>
                      <w:sz w:val="21"/>
                      <w:szCs w:val="21"/>
                      <w:lang w:eastAsia="zh-CN"/>
                    </w:rPr>
                    <w:t>闲置</w:t>
                  </w:r>
                  <w:r>
                    <w:rPr>
                      <w:rFonts w:hint="default" w:ascii="Times New Roman" w:hAnsi="Times New Roman" w:eastAsia="宋体" w:cs="Times New Roman"/>
                      <w:kern w:val="0"/>
                      <w:sz w:val="21"/>
                      <w:szCs w:val="21"/>
                    </w:rPr>
                    <w:t>。</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4"/>
                      <w:rFonts w:hint="eastAsia" w:ascii="Times New Roman" w:hAnsi="Times New Roman" w:eastAsia="宋体" w:cs="Times New Roman"/>
                      <w:color w:val="000000"/>
                      <w:sz w:val="21"/>
                      <w:szCs w:val="21"/>
                      <w:lang w:val="en-US"/>
                    </w:rPr>
                  </w:pPr>
                  <w:r>
                    <w:rPr>
                      <w:rStyle w:val="24"/>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widowControl/>
                    <w:jc w:val="center"/>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原料区</w:t>
                  </w:r>
                </w:p>
              </w:tc>
              <w:tc>
                <w:tcPr>
                  <w:tcW w:w="3250"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位于生产车间一层西侧，用于储存原材料</w:t>
                  </w:r>
                </w:p>
              </w:tc>
              <w:tc>
                <w:tcPr>
                  <w:tcW w:w="3073"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位于生产车间一层西侧，用于储存原材料</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4"/>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widowControl/>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成品区</w:t>
                  </w:r>
                </w:p>
              </w:tc>
              <w:tc>
                <w:tcPr>
                  <w:tcW w:w="3250"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位于生产车间一层东侧，用于储存</w:t>
                  </w:r>
                  <w:r>
                    <w:rPr>
                      <w:rFonts w:hint="default" w:ascii="Times New Roman" w:hAnsi="Times New Roman" w:cs="Times New Roman"/>
                      <w:kern w:val="0"/>
                      <w:sz w:val="21"/>
                      <w:szCs w:val="21"/>
                    </w:rPr>
                    <w:t>成品</w:t>
                  </w:r>
                </w:p>
              </w:tc>
              <w:tc>
                <w:tcPr>
                  <w:tcW w:w="3073" w:type="dxa"/>
                  <w:tcBorders>
                    <w:bottom w:val="single" w:color="auto" w:sz="4" w:space="0"/>
                    <w:tl2br w:val="nil"/>
                    <w:tr2bl w:val="nil"/>
                  </w:tcBorders>
                  <w:vAlign w:val="center"/>
                </w:tcPr>
                <w:p>
                  <w:pPr>
                    <w:pStyle w:val="2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位于生产车间一层东侧，用于储存</w:t>
                  </w:r>
                  <w:r>
                    <w:rPr>
                      <w:rFonts w:hint="default" w:ascii="Times New Roman" w:hAnsi="Times New Roman" w:cs="Times New Roman"/>
                      <w:kern w:val="0"/>
                      <w:sz w:val="21"/>
                      <w:szCs w:val="21"/>
                    </w:rPr>
                    <w:t>成品</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4"/>
                      <w:rFonts w:hint="default" w:ascii="Times New Roman" w:hAnsi="Times New Roman" w:eastAsia="宋体" w:cs="Times New Roman"/>
                      <w:color w:val="000000"/>
                      <w:sz w:val="21"/>
                      <w:szCs w:val="21"/>
                      <w:lang w:val="en-US"/>
                    </w:rPr>
                  </w:pPr>
                  <w:r>
                    <w:rPr>
                      <w:rStyle w:val="24"/>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4"/>
                      <w:rFonts w:hint="default" w:ascii="Times New Roman" w:hAnsi="Times New Roman" w:eastAsia="宋体" w:cs="Times New Roman"/>
                      <w:color w:val="000000"/>
                      <w:sz w:val="21"/>
                      <w:szCs w:val="21"/>
                      <w:lang w:val="en-US" w:eastAsia="zh-CN"/>
                    </w:rPr>
                  </w:pPr>
                  <w:r>
                    <w:rPr>
                      <w:rStyle w:val="24"/>
                      <w:rFonts w:hint="default" w:ascii="Times New Roman" w:hAnsi="Times New Roman" w:eastAsia="宋体" w:cs="Times New Roman"/>
                      <w:color w:val="000000"/>
                      <w:sz w:val="21"/>
                      <w:szCs w:val="21"/>
                      <w:lang w:val="en-US"/>
                    </w:rPr>
                    <w:t>灭菌、解析</w:t>
                  </w:r>
                  <w:r>
                    <w:rPr>
                      <w:rStyle w:val="24"/>
                      <w:rFonts w:hint="eastAsia" w:ascii="Times New Roman" w:hAnsi="Times New Roman" w:eastAsia="宋体" w:cs="Times New Roman"/>
                      <w:color w:val="000000"/>
                      <w:sz w:val="21"/>
                      <w:szCs w:val="21"/>
                      <w:lang w:val="en-US"/>
                    </w:rPr>
                    <w:t>、</w:t>
                  </w:r>
                  <w:r>
                    <w:rPr>
                      <w:rStyle w:val="24"/>
                      <w:rFonts w:hint="default" w:ascii="Times New Roman" w:hAnsi="Times New Roman" w:eastAsia="宋体" w:cs="Times New Roman"/>
                      <w:color w:val="000000"/>
                      <w:sz w:val="21"/>
                      <w:szCs w:val="21"/>
                      <w:lang w:val="en-US"/>
                    </w:rPr>
                    <w:t>包装封口废气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4"/>
                      <w:rFonts w:hint="default" w:ascii="Times New Roman" w:hAnsi="Times New Roman" w:eastAsia="宋体" w:cs="Times New Roman"/>
                      <w:color w:val="000000"/>
                      <w:sz w:val="21"/>
                      <w:szCs w:val="21"/>
                      <w:lang w:val="en-US" w:eastAsia="zh-CN"/>
                    </w:rPr>
                  </w:pPr>
                  <w:r>
                    <w:rPr>
                      <w:rStyle w:val="24"/>
                      <w:rFonts w:hint="default" w:ascii="Times New Roman" w:hAnsi="Times New Roman" w:eastAsia="宋体" w:cs="Times New Roman"/>
                      <w:color w:val="000000"/>
                      <w:sz w:val="21"/>
                      <w:szCs w:val="21"/>
                      <w:lang w:val="en-US"/>
                    </w:rPr>
                    <w:t>集气管道+水吸收+活性炭（碘值不低于800mg/g）吸附装置+</w:t>
                  </w:r>
                  <w:r>
                    <w:rPr>
                      <w:rStyle w:val="24"/>
                      <w:rFonts w:hint="eastAsia" w:ascii="Times New Roman" w:hAnsi="Times New Roman" w:eastAsia="宋体" w:cs="Times New Roman"/>
                      <w:color w:val="000000"/>
                      <w:sz w:val="21"/>
                      <w:szCs w:val="21"/>
                      <w:lang w:val="en-US"/>
                    </w:rPr>
                    <w:t>23</w:t>
                  </w:r>
                  <w:r>
                    <w:rPr>
                      <w:rStyle w:val="24"/>
                      <w:rFonts w:hint="default" w:ascii="Times New Roman" w:hAnsi="Times New Roman" w:eastAsia="宋体" w:cs="Times New Roman"/>
                      <w:color w:val="000000"/>
                      <w:sz w:val="21"/>
                      <w:szCs w:val="21"/>
                      <w:lang w:val="en-US"/>
                    </w:rPr>
                    <w:t>m高排气筒（P1）</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4"/>
                      <w:rFonts w:hint="default" w:ascii="Times New Roman" w:hAnsi="Times New Roman" w:eastAsia="宋体" w:cs="Times New Roman"/>
                      <w:color w:val="000000"/>
                      <w:sz w:val="21"/>
                      <w:szCs w:val="21"/>
                      <w:lang w:val="en-US"/>
                    </w:rPr>
                  </w:pPr>
                  <w:r>
                    <w:rPr>
                      <w:rStyle w:val="24"/>
                      <w:rFonts w:hint="default" w:ascii="Times New Roman" w:hAnsi="Times New Roman" w:eastAsia="宋体" w:cs="Times New Roman"/>
                      <w:color w:val="000000"/>
                      <w:sz w:val="21"/>
                      <w:szCs w:val="21"/>
                      <w:lang w:val="en-US"/>
                    </w:rPr>
                    <w:t>集气管道+水吸收</w:t>
                  </w:r>
                  <w:r>
                    <w:rPr>
                      <w:rStyle w:val="24"/>
                      <w:rFonts w:hint="eastAsia" w:ascii="Times New Roman" w:hAnsi="Times New Roman" w:eastAsia="宋体" w:cs="Times New Roman"/>
                      <w:color w:val="000000"/>
                      <w:sz w:val="21"/>
                      <w:szCs w:val="21"/>
                      <w:lang w:val="en-US"/>
                    </w:rPr>
                    <w:t>+</w:t>
                  </w:r>
                  <w:r>
                    <w:rPr>
                      <w:rStyle w:val="24"/>
                      <w:rFonts w:hint="default" w:ascii="Times New Roman" w:hAnsi="Times New Roman" w:eastAsia="宋体" w:cs="Times New Roman"/>
                      <w:color w:val="000000"/>
                      <w:sz w:val="21"/>
                      <w:szCs w:val="21"/>
                      <w:lang w:val="en-US"/>
                    </w:rPr>
                    <w:t>活性炭（碘值不低于800mg/g）吸附装置+</w:t>
                  </w:r>
                  <w:r>
                    <w:rPr>
                      <w:rStyle w:val="24"/>
                      <w:rFonts w:hint="eastAsia" w:ascii="Times New Roman" w:hAnsi="Times New Roman" w:eastAsia="宋体" w:cs="Times New Roman"/>
                      <w:color w:val="000000"/>
                      <w:sz w:val="21"/>
                      <w:szCs w:val="21"/>
                      <w:lang w:val="en-US"/>
                    </w:rPr>
                    <w:t>23</w:t>
                  </w:r>
                  <w:r>
                    <w:rPr>
                      <w:rStyle w:val="24"/>
                      <w:rFonts w:hint="default" w:ascii="Times New Roman" w:hAnsi="Times New Roman" w:eastAsia="宋体" w:cs="Times New Roman"/>
                      <w:color w:val="000000"/>
                      <w:sz w:val="21"/>
                      <w:szCs w:val="21"/>
                      <w:lang w:val="en-US"/>
                    </w:rPr>
                    <w:t>m高排气筒（P1）</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4"/>
                      <w:rFonts w:hint="default" w:ascii="Times New Roman" w:hAnsi="Times New Roman" w:eastAsia="宋体" w:cs="Times New Roman"/>
                      <w:color w:val="000000"/>
                      <w:sz w:val="21"/>
                      <w:szCs w:val="21"/>
                      <w:lang w:val="en-US"/>
                    </w:rPr>
                    <w:t>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7"/>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966"/>
              <w:gridCol w:w="1590"/>
              <w:gridCol w:w="2250"/>
              <w:gridCol w:w="2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口罩机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w:t>
                  </w:r>
                </w:p>
              </w:tc>
              <w:tc>
                <w:tcPr>
                  <w:tcW w:w="2250"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w:t>
                  </w:r>
                </w:p>
              </w:tc>
              <w:tc>
                <w:tcPr>
                  <w:tcW w:w="211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纱布折叠机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250"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117"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分切机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电动裁刀</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中单折叠机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医用垫机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抻布机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绑带打卷机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制帽机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棉球机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棉签机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缝纫机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30</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30</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13</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锁边机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14</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裁布机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真空包装机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16</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包装机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17</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空压机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18</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压缩空气干燥机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19</w:t>
                  </w:r>
                </w:p>
              </w:tc>
              <w:tc>
                <w:tcPr>
                  <w:tcW w:w="196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环氧乙烷灭菌器</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4"/>
                      <w:rFonts w:hint="default" w:ascii="Times New Roman" w:hAnsi="Times New Roman" w:eastAsia="宋体" w:cs="Times New Roman"/>
                      <w:color w:val="000000"/>
                      <w:sz w:val="21"/>
                      <w:szCs w:val="21"/>
                      <w:lang w:val="en-US"/>
                    </w:rPr>
                    <w:t>灭菌、解析</w:t>
                  </w:r>
                  <w:r>
                    <w:rPr>
                      <w:rStyle w:val="24"/>
                      <w:rFonts w:hint="eastAsia" w:ascii="Times New Roman" w:hAnsi="Times New Roman" w:eastAsia="宋体" w:cs="Times New Roman"/>
                      <w:color w:val="000000"/>
                      <w:sz w:val="21"/>
                      <w:szCs w:val="21"/>
                      <w:lang w:val="en-US"/>
                    </w:rPr>
                    <w:t>、</w:t>
                  </w:r>
                  <w:r>
                    <w:rPr>
                      <w:rStyle w:val="24"/>
                      <w:rFonts w:hint="default" w:ascii="Times New Roman" w:hAnsi="Times New Roman" w:eastAsia="宋体" w:cs="Times New Roman"/>
                      <w:color w:val="000000"/>
                      <w:sz w:val="21"/>
                      <w:szCs w:val="21"/>
                      <w:lang w:val="en-US"/>
                    </w:rPr>
                    <w:t>包装封口废气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4"/>
                      <w:rFonts w:hint="default" w:ascii="Times New Roman" w:hAnsi="Times New Roman" w:eastAsia="宋体" w:cs="Times New Roman"/>
                      <w:color w:val="000000"/>
                      <w:sz w:val="21"/>
                      <w:szCs w:val="21"/>
                      <w:lang w:val="en-US"/>
                    </w:rPr>
                    <w:t>集气管道+水吸收+活性炭（碘值不低于800mg/g）吸附装置+</w:t>
                  </w:r>
                  <w:r>
                    <w:rPr>
                      <w:rStyle w:val="24"/>
                      <w:rFonts w:hint="eastAsia" w:ascii="Times New Roman" w:hAnsi="Times New Roman" w:eastAsia="宋体" w:cs="Times New Roman"/>
                      <w:color w:val="000000"/>
                      <w:sz w:val="21"/>
                      <w:szCs w:val="21"/>
                      <w:lang w:val="en-US"/>
                    </w:rPr>
                    <w:t>23</w:t>
                  </w:r>
                  <w:r>
                    <w:rPr>
                      <w:rStyle w:val="24"/>
                      <w:rFonts w:hint="default" w:ascii="Times New Roman" w:hAnsi="Times New Roman" w:eastAsia="宋体" w:cs="Times New Roman"/>
                      <w:color w:val="000000"/>
                      <w:sz w:val="21"/>
                      <w:szCs w:val="21"/>
                      <w:lang w:val="en-US"/>
                    </w:rPr>
                    <w:t>m高排气筒（P1）</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4"/>
                      <w:rFonts w:hint="default" w:ascii="Times New Roman" w:hAnsi="Times New Roman" w:eastAsia="宋体" w:cs="Times New Roman"/>
                      <w:color w:val="000000"/>
                      <w:sz w:val="21"/>
                      <w:szCs w:val="21"/>
                      <w:lang w:val="en-US"/>
                    </w:rPr>
                    <w:t>集气管道+水吸收</w:t>
                  </w:r>
                  <w:r>
                    <w:rPr>
                      <w:rStyle w:val="24"/>
                      <w:rFonts w:hint="eastAsia" w:ascii="Times New Roman" w:hAnsi="Times New Roman" w:eastAsia="宋体" w:cs="Times New Roman"/>
                      <w:color w:val="000000"/>
                      <w:sz w:val="21"/>
                      <w:szCs w:val="21"/>
                      <w:lang w:val="en-US"/>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4"/>
                      <w:rFonts w:hint="default" w:ascii="Times New Roman" w:hAnsi="Times New Roman" w:eastAsia="宋体" w:cs="Times New Roman"/>
                      <w:color w:val="000000"/>
                      <w:sz w:val="21"/>
                      <w:szCs w:val="21"/>
                      <w:lang w:val="en-US"/>
                    </w:rPr>
                    <w:t>活性炭（碘值不低于800mg/g）吸附装置+</w:t>
                  </w:r>
                  <w:r>
                    <w:rPr>
                      <w:rStyle w:val="24"/>
                      <w:rFonts w:hint="eastAsia" w:ascii="Times New Roman" w:hAnsi="Times New Roman" w:eastAsia="宋体" w:cs="Times New Roman"/>
                      <w:color w:val="000000"/>
                      <w:sz w:val="21"/>
                      <w:szCs w:val="21"/>
                      <w:lang w:val="en-US"/>
                    </w:rPr>
                    <w:t>23</w:t>
                  </w:r>
                  <w:r>
                    <w:rPr>
                      <w:rStyle w:val="24"/>
                      <w:rFonts w:hint="default" w:ascii="Times New Roman" w:hAnsi="Times New Roman" w:eastAsia="宋体" w:cs="Times New Roman"/>
                      <w:color w:val="000000"/>
                      <w:sz w:val="21"/>
                      <w:szCs w:val="21"/>
                      <w:lang w:val="en-US"/>
                    </w:rPr>
                    <w:t>m高排气筒（P1）</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7"/>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2175" w:type="dxa"/>
                  <w:tcBorders>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无纺布</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480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480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纱布</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塑料镊子</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8</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8</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吸引头</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注射器</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托盘</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7</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橡胶手套</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万双/a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8</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布块</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包装袋</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
                      <w:bCs/>
                      <w:sz w:val="21"/>
                      <w:szCs w:val="21"/>
                      <w:highlight w:val="yellow"/>
                      <w:u w:val="single"/>
                      <w:lang w:val="en-US" w:eastAsia="zh-CN" w:bidi="ar-SA"/>
                    </w:rPr>
                  </w:pPr>
                  <w:r>
                    <w:rPr>
                      <w:rFonts w:hint="default" w:ascii="Times New Roman" w:hAnsi="Times New Roman" w:eastAsia="宋体" w:cs="Times New Roman"/>
                      <w:sz w:val="21"/>
                      <w:szCs w:val="21"/>
                    </w:rPr>
                    <w:t>10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
                      <w:bCs/>
                      <w:sz w:val="21"/>
                      <w:szCs w:val="21"/>
                      <w:highlight w:val="yellow"/>
                      <w:u w:val="single"/>
                      <w:lang w:val="en-US" w:eastAsia="zh-CN" w:bidi="ar-SA"/>
                    </w:rPr>
                  </w:pPr>
                  <w:r>
                    <w:rPr>
                      <w:rFonts w:hint="default" w:ascii="Times New Roman" w:hAnsi="Times New Roman" w:eastAsia="宋体" w:cs="Times New Roman"/>
                      <w:sz w:val="21"/>
                      <w:szCs w:val="21"/>
                    </w:rPr>
                    <w:t>10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10</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包装箱</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万个/a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
                      <w:bCs/>
                      <w:sz w:val="21"/>
                      <w:szCs w:val="21"/>
                      <w:highlight w:val="yellow"/>
                      <w:u w:val="single"/>
                      <w:lang w:val="en-US" w:eastAsia="zh-CN" w:bidi="ar-SA"/>
                    </w:rPr>
                  </w:pPr>
                  <w:r>
                    <w:rPr>
                      <w:rFonts w:hint="default" w:ascii="Times New Roman" w:hAnsi="Times New Roman" w:eastAsia="宋体" w:cs="Times New Roman"/>
                      <w:sz w:val="21"/>
                      <w:szCs w:val="21"/>
                    </w:rPr>
                    <w:t>3</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
                      <w:bCs/>
                      <w:sz w:val="21"/>
                      <w:szCs w:val="21"/>
                      <w:highlight w:val="yellow"/>
                      <w:u w:val="single"/>
                      <w:lang w:val="en-US" w:eastAsia="zh-CN" w:bidi="ar-SA"/>
                    </w:rPr>
                  </w:pPr>
                  <w:r>
                    <w:rPr>
                      <w:rFonts w:hint="default" w:ascii="Times New Roman" w:hAnsi="Times New Roman" w:eastAsia="宋体" w:cs="Times New Roman"/>
                      <w:sz w:val="21"/>
                      <w:szCs w:val="21"/>
                    </w:rPr>
                    <w:t>3</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11</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 xml:space="preserve">        脱脂棉</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25</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12</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竹棒</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10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10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13</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塑料棒</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3</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3</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14</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橡皮筋</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个</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100000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100000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15</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塑料镜片</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个</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50000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塑料面罩</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个</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50000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17</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检查手套</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个</w:t>
                  </w:r>
                </w:p>
              </w:tc>
              <w:tc>
                <w:tcPr>
                  <w:tcW w:w="1604"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200000</w:t>
                  </w:r>
                </w:p>
              </w:tc>
              <w:tc>
                <w:tcPr>
                  <w:tcW w:w="1560" w:type="dxa"/>
                  <w:vAlign w:val="bottom"/>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200000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18</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环氧乙烷</w:t>
                  </w:r>
                </w:p>
              </w:tc>
              <w:tc>
                <w:tcPr>
                  <w:tcW w:w="1501"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t/a</w:t>
                  </w:r>
                </w:p>
              </w:tc>
              <w:tc>
                <w:tcPr>
                  <w:tcW w:w="1604"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w:t>
                  </w:r>
                </w:p>
              </w:tc>
              <w:tc>
                <w:tcPr>
                  <w:tcW w:w="1560"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19</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szCs w:val="21"/>
                    </w:rPr>
                    <w:t>750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Cs w:val="21"/>
                    </w:rPr>
                    <w:t>750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pStyle w:val="12"/>
              <w:spacing w:after="0" w:line="520" w:lineRule="exact"/>
              <w:ind w:left="0" w:leftChars="0"/>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公用工程</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（1）给排水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①生产用水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环氧乙烷吸收水：本项目环氧乙烷废气采用</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收进行处理。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喷淋塔内部水池</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尺寸为长1.0m×宽1.0m×高0.5m，循环水池内水量为0.3m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需吸收废气量为1.026t/a，其中水吸收处理处理效率为80%（吸收废气量为0.82t/a），活性炭处理效率为50%（0.206t/a），本项目水吸收池内水每年更换一次，作为危险废物委托有资质单位处理，废水一次更换量为1.12t/a。循环水池每天补充新水0.1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，则用水量为30m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②生活用水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生活用水：项目员工定员</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60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人，均为周边居民，不在厂区内食宿。项目营运期员工生活用水按40L/d·人计，则本项目生活用水量为720m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/a（2.4m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本项目生活废水排污系数按80%计，则生活污水产生量为</w:t>
            </w:r>
            <w:r>
              <w:rPr>
                <w:rFonts w:hint="default" w:ascii="Times New Roman" w:hAnsi="Times New Roman" w:cs="Times New Roman"/>
                <w:sz w:val="24"/>
              </w:rPr>
              <w:t>1.92m</w:t>
            </w:r>
            <w:r>
              <w:rPr>
                <w:rFonts w:hint="default" w:ascii="Times New Roman" w:hAnsi="Times New Roman" w:cs="Times New Roman"/>
                <w:sz w:val="24"/>
                <w:vertAlign w:val="superscript"/>
              </w:rPr>
              <w:t>3</w:t>
            </w:r>
            <w:r>
              <w:rPr>
                <w:rFonts w:hint="default" w:ascii="Times New Roman" w:hAnsi="Times New Roman" w:cs="Times New Roman"/>
                <w:sz w:val="24"/>
              </w:rPr>
              <w:t>/d（576m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。项目生活废水经厂区内化粪池（1×20m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）处理后，定期清掏用于肥田。</w:t>
            </w:r>
          </w:p>
          <w:p>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 xml:space="preserve">  本项目产品主要为无纺布、纱布类制品、高分子制品、组合包类制品和隔离面罩、眼罩、检查手套和一次性采样器。</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（1）无纺布、纱布类制品</w:t>
            </w:r>
          </w:p>
          <w:p>
            <w:pPr>
              <w:pStyle w:val="2"/>
              <w:spacing w:line="520" w:lineRule="exact"/>
              <w:ind w:firstLine="480" w:firstLineChars="200"/>
              <w:rPr>
                <w:rFonts w:hint="default" w:ascii="Times New Roman" w:hAnsi="Times New Roman" w:cs="Times New Roman"/>
              </w:rPr>
            </w:pPr>
            <w:r>
              <w:rPr>
                <w:rFonts w:hint="default" w:ascii="Times New Roman" w:hAnsi="Times New Roman" w:cs="Times New Roman"/>
              </w:rPr>
              <w:t>本项目无纺布、纱布类制品主要为医用口罩、帽、垫单、手术衣、防护服、隔离服、纱布块、棉球、棉签、纱布绷带、鞋套等。其中医用口罩、帽、垫单、纱布块、纱布垫、鞋套、医用绷带、等工艺基本相同，工艺流程图见图1；医用脱脂棉纱布块、一次性手术衣、防护服、隔离服工艺基本相同具体工艺见图2。</w:t>
            </w:r>
          </w:p>
          <w:p>
            <w:pPr>
              <w:jc w:val="center"/>
              <w:rPr>
                <w:rFonts w:hint="default" w:ascii="Times New Roman" w:hAnsi="Times New Roman" w:cs="Times New Roman"/>
                <w:bCs/>
                <w:kern w:val="0"/>
                <w:sz w:val="24"/>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2971165</wp:posOffset>
                  </wp:positionH>
                  <wp:positionV relativeFrom="paragraph">
                    <wp:posOffset>366395</wp:posOffset>
                  </wp:positionV>
                  <wp:extent cx="798830" cy="285115"/>
                  <wp:effectExtent l="0" t="0" r="1270" b="635"/>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
                          <a:stretch>
                            <a:fillRect/>
                          </a:stretch>
                        </pic:blipFill>
                        <pic:spPr>
                          <a:xfrm>
                            <a:off x="0" y="0"/>
                            <a:ext cx="798830" cy="285115"/>
                          </a:xfrm>
                          <a:prstGeom prst="rect">
                            <a:avLst/>
                          </a:prstGeom>
                          <a:noFill/>
                          <a:ln>
                            <a:noFill/>
                          </a:ln>
                        </pic:spPr>
                      </pic:pic>
                    </a:graphicData>
                  </a:graphic>
                </wp:anchor>
              </w:drawing>
            </w:r>
            <w:r>
              <w:drawing>
                <wp:inline distT="0" distB="0" distL="114300" distR="114300">
                  <wp:extent cx="5758815" cy="1268095"/>
                  <wp:effectExtent l="0" t="0" r="13335" b="825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8"/>
                          <a:stretch>
                            <a:fillRect/>
                          </a:stretch>
                        </pic:blipFill>
                        <pic:spPr>
                          <a:xfrm>
                            <a:off x="0" y="0"/>
                            <a:ext cx="5758815" cy="12680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bCs/>
                <w:kern w:val="0"/>
                <w:sz w:val="24"/>
              </w:rPr>
            </w:pPr>
            <w:r>
              <w:rPr>
                <w:rFonts w:hint="default" w:ascii="Times New Roman" w:hAnsi="Times New Roman" w:cs="Times New Roman"/>
                <w:b/>
                <w:kern w:val="0"/>
                <w:sz w:val="18"/>
                <w:szCs w:val="18"/>
              </w:rPr>
              <w:t>图注：S、固废  G、废气  N、噪声</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b/>
                <w:kern w:val="0"/>
                <w:sz w:val="24"/>
              </w:rPr>
              <w:t>图</w:t>
            </w:r>
            <w:r>
              <w:rPr>
                <w:rFonts w:hint="eastAsia" w:ascii="Times New Roman" w:hAnsi="Times New Roman" w:cs="Times New Roman" w:eastAsiaTheme="minorEastAsia"/>
                <w:b/>
                <w:kern w:val="0"/>
                <w:sz w:val="24"/>
                <w:lang w:val="en-US" w:eastAsia="zh-CN"/>
              </w:rPr>
              <w:t>1</w:t>
            </w:r>
            <w:r>
              <w:rPr>
                <w:rFonts w:hint="default" w:ascii="Times New Roman" w:hAnsi="Times New Roman" w:cs="Times New Roman" w:eastAsiaTheme="minorEastAsia"/>
                <w:b/>
                <w:kern w:val="0"/>
                <w:sz w:val="24"/>
              </w:rPr>
              <w:t xml:space="preserve">   </w:t>
            </w:r>
            <w:r>
              <w:rPr>
                <w:rFonts w:hint="default" w:ascii="Times New Roman" w:hAnsi="Times New Roman" w:cs="Times New Roman" w:eastAsiaTheme="minorEastAsia"/>
                <w:b/>
                <w:bCs/>
                <w:sz w:val="24"/>
              </w:rPr>
              <w:t>医用口罩、帽、纱布块、鞋套等</w:t>
            </w:r>
            <w:r>
              <w:rPr>
                <w:rFonts w:hint="default" w:ascii="Times New Roman" w:hAnsi="Times New Roman" w:cs="Times New Roman" w:eastAsiaTheme="minorEastAsia"/>
                <w:b/>
                <w:kern w:val="0"/>
                <w:sz w:val="24"/>
              </w:rPr>
              <w:t>生产工艺流程及产污环节图</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将医用口罩、帽等原料直接在口罩机（帽机、棉球机、棉签机、纱布折叠机、鞋套机等）上进行加工，加工后的产品经包装封口、灭菌解析等一系列工序后即为成品（其鞋套、绷带、一次性采样器等为Ⅰ类产品，不用进行灭菌、解析工序，包装封口后即为成品）。封口过程是采用封口机通过电加热进行热合封口，加热温度为130℃左右，灭菌过程采用环氧乙烷灭菌器电加热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送入“水吸收+活性炭（碘值不低于800mg/g）吸附装置”进行处理。随后将产品移至解析库内静置，使产品中残余的环氧乙烷解析出来，通过抽风装置送入“水吸收+活性炭（碘值不低于800mg/g）吸附装置”处理。</w:t>
            </w:r>
          </w:p>
          <w:p>
            <w:pPr>
              <w:jc w:val="center"/>
              <w:rPr>
                <w:rFonts w:hint="default" w:ascii="Times New Roman" w:hAnsi="Times New Roman" w:cs="Times New Roman"/>
                <w:sz w:val="24"/>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3439160</wp:posOffset>
                  </wp:positionH>
                  <wp:positionV relativeFrom="paragraph">
                    <wp:posOffset>341630</wp:posOffset>
                  </wp:positionV>
                  <wp:extent cx="579120" cy="236220"/>
                  <wp:effectExtent l="0" t="0" r="11430" b="11430"/>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7"/>
                          <a:stretch>
                            <a:fillRect/>
                          </a:stretch>
                        </pic:blipFill>
                        <pic:spPr>
                          <a:xfrm>
                            <a:off x="0" y="0"/>
                            <a:ext cx="579120" cy="23622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5445760" cy="981710"/>
                  <wp:effectExtent l="0" t="0" r="2540"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9"/>
                          <a:stretch>
                            <a:fillRect/>
                          </a:stretch>
                        </pic:blipFill>
                        <pic:spPr>
                          <a:xfrm>
                            <a:off x="0" y="0"/>
                            <a:ext cx="5445760" cy="9817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sz w:val="24"/>
              </w:rPr>
            </w:pPr>
            <w:r>
              <w:rPr>
                <w:rFonts w:hint="default" w:ascii="Times New Roman" w:hAnsi="Times New Roman" w:cs="Times New Roman"/>
                <w:b/>
                <w:kern w:val="0"/>
                <w:sz w:val="18"/>
                <w:szCs w:val="18"/>
              </w:rPr>
              <w:t>图注：S、固废  G、废气  N、噪声</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w:t>
            </w:r>
            <w:r>
              <w:rPr>
                <w:rFonts w:hint="eastAsia" w:ascii="Times New Roman" w:hAnsi="Times New Roman" w:cs="Times New Roman" w:eastAsiaTheme="minorEastAsia"/>
                <w:b/>
                <w:bCs/>
                <w:sz w:val="24"/>
                <w:lang w:val="en-US" w:eastAsia="zh-CN"/>
              </w:rPr>
              <w:t>2</w:t>
            </w:r>
            <w:r>
              <w:rPr>
                <w:rFonts w:hint="default" w:ascii="Times New Roman" w:hAnsi="Times New Roman" w:cs="Times New Roman" w:eastAsiaTheme="minorEastAsia"/>
                <w:b/>
                <w:bCs/>
                <w:sz w:val="24"/>
              </w:rPr>
              <w:t xml:space="preserve">   手术衣、防护服、隔离服等生产工艺流程及产污环节图</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外购无纺布原材料，将原料按照客户需要尺寸进行分切，分切后采用缝纫机、锁边机按照各产品工艺进行缝制之后经包装封口、灭菌解析等一系列工序后即为成品（其中隔离服为Ⅰ类产品，不用进行灭菌和解析工序，包装封口后即为成品）。</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（3）医用组合包和医用眼罩、医用面罩</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本项目医用组合包和医用眼罩和医用面罩生产工艺基本相同，其生产工艺流程图见图5。</w:t>
            </w:r>
          </w:p>
          <w:p>
            <w:pPr>
              <w:tabs>
                <w:tab w:val="left" w:pos="5877"/>
              </w:tabs>
              <w:jc w:val="left"/>
              <w:rPr>
                <w:rFonts w:hint="default" w:ascii="Times New Roman" w:hAnsi="Times New Roman" w:cs="Times New Roman"/>
              </w:rPr>
            </w:pPr>
            <w:r>
              <w:drawing>
                <wp:inline distT="0" distB="0" distL="114300" distR="114300">
                  <wp:extent cx="5751830" cy="1346835"/>
                  <wp:effectExtent l="0" t="0" r="1270" b="571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0"/>
                          <a:stretch>
                            <a:fillRect/>
                          </a:stretch>
                        </pic:blipFill>
                        <pic:spPr>
                          <a:xfrm>
                            <a:off x="0" y="0"/>
                            <a:ext cx="5751830" cy="13468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b/>
                <w:kern w:val="0"/>
                <w:sz w:val="18"/>
                <w:szCs w:val="18"/>
              </w:rPr>
            </w:pPr>
            <w:r>
              <w:rPr>
                <w:rFonts w:hint="default" w:ascii="Times New Roman" w:hAnsi="Times New Roman" w:cs="Times New Roman"/>
                <w:b/>
                <w:kern w:val="0"/>
                <w:sz w:val="18"/>
                <w:szCs w:val="18"/>
              </w:rPr>
              <w:t>图注：S 固废  G 废气   N  噪声</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w:t>
            </w:r>
            <w:r>
              <w:rPr>
                <w:rFonts w:hint="eastAsia" w:ascii="Times New Roman" w:hAnsi="Times New Roman" w:cs="Times New Roman" w:eastAsiaTheme="minorEastAsia"/>
                <w:b/>
                <w:bCs/>
                <w:sz w:val="24"/>
                <w:lang w:val="en-US" w:eastAsia="zh-CN"/>
              </w:rPr>
              <w:t>3</w:t>
            </w:r>
            <w:r>
              <w:rPr>
                <w:rFonts w:hint="default" w:ascii="Times New Roman" w:hAnsi="Times New Roman" w:cs="Times New Roman" w:eastAsiaTheme="minorEastAsia"/>
                <w:b/>
                <w:bCs/>
                <w:sz w:val="24"/>
              </w:rPr>
              <w:t xml:space="preserve">  医用组合包生产工艺流程</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cs="Times New Roman"/>
                <w:b/>
                <w:bCs/>
                <w:szCs w:val="24"/>
                <w:u w:val="single"/>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本项目包类主要是一次性使用无菌手术组件、一次性使用换药包和一次性使用血管造影手术包，为外购半成品，根据不同需要将塑料镊子、吸引头、注射器、乳胶手套、布块等按要求进行装配，封装灭菌、解析形成医用组合包入库暂存；隔离眼罩和隔离面罩是将外购的塑料眼镜片、塑料面屏和橡皮筋进行组装，检查手套为外购成品，然后包装封口后即为成品（隔离眼罩、隔离面屏和检查手套为Ⅰ类产品，不用进行灭菌和解析工序）。</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灭菌柜减少1台，环评报告中灭菌柜3台，实际投产2台</w:t>
            </w:r>
            <w:r>
              <w:rPr>
                <w:rFonts w:hint="default" w:ascii="Times New Roman" w:hAnsi="Times New Roman" w:cs="Times New Roman" w:eastAsiaTheme="minorEastAsia"/>
                <w:b w:val="0"/>
                <w:bCs w:val="0"/>
                <w:color w:val="auto"/>
                <w:sz w:val="24"/>
                <w:szCs w:val="24"/>
                <w:highlight w:val="none"/>
                <w:lang w:val="en-US" w:eastAsia="zh-CN"/>
              </w:rPr>
              <w:t>，</w:t>
            </w:r>
            <w:r>
              <w:rPr>
                <w:rFonts w:hint="eastAsia" w:ascii="Times New Roman" w:hAnsi="Times New Roman" w:cs="Times New Roman" w:eastAsiaTheme="minorEastAsia"/>
                <w:b w:val="0"/>
                <w:bCs w:val="0"/>
                <w:color w:val="auto"/>
                <w:sz w:val="24"/>
                <w:szCs w:val="24"/>
                <w:highlight w:val="none"/>
                <w:lang w:val="en-US" w:eastAsia="zh-CN"/>
              </w:rPr>
              <w:t>经与项目单位核实，本项目产品产能不变，</w:t>
            </w:r>
            <w:r>
              <w:rPr>
                <w:rFonts w:hint="default" w:ascii="Times New Roman" w:hAnsi="Times New Roman" w:eastAsia="宋体" w:cs="Times New Roman"/>
                <w:b w:val="0"/>
                <w:bCs/>
                <w:sz w:val="24"/>
                <w:szCs w:val="24"/>
                <w:highlight w:val="none"/>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4"/>
                      <w:rFonts w:hint="default" w:ascii="Times New Roman" w:hAnsi="Times New Roman" w:eastAsia="宋体" w:cs="Times New Roman"/>
                      <w:color w:val="000000"/>
                      <w:sz w:val="21"/>
                      <w:szCs w:val="21"/>
                      <w:lang w:val="en-US"/>
                    </w:rPr>
                    <w:t>灭菌、解析</w:t>
                  </w:r>
                  <w:r>
                    <w:rPr>
                      <w:rStyle w:val="24"/>
                      <w:rFonts w:hint="eastAsia" w:ascii="Times New Roman" w:hAnsi="Times New Roman" w:eastAsia="宋体" w:cs="Times New Roman"/>
                      <w:color w:val="000000"/>
                      <w:sz w:val="21"/>
                      <w:szCs w:val="21"/>
                      <w:lang w:val="en-US"/>
                    </w:rPr>
                    <w:t>、</w:t>
                  </w:r>
                  <w:r>
                    <w:rPr>
                      <w:rStyle w:val="24"/>
                      <w:rFonts w:hint="default" w:ascii="Times New Roman" w:hAnsi="Times New Roman" w:eastAsia="宋体" w:cs="Times New Roman"/>
                      <w:color w:val="000000"/>
                      <w:sz w:val="21"/>
                      <w:szCs w:val="21"/>
                      <w:lang w:val="en-US"/>
                    </w:rPr>
                    <w:t>包装封口废气</w:t>
                  </w:r>
                </w:p>
              </w:tc>
              <w:tc>
                <w:tcPr>
                  <w:tcW w:w="1918"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集气管道+水吸收</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活性炭（碘值不低于800mg/g）吸附装置+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m高排气筒（P1）</w:t>
                  </w:r>
                </w:p>
              </w:tc>
              <w:tc>
                <w:tcPr>
                  <w:tcW w:w="1974"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pStyle w:val="7"/>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9"/>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pStyle w:val="25"/>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生活污水产生量为576m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/a（1.92m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经厂区20m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后，定期清掏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项目主要噪声源为口罩机、棉球机、缝纫机、帽机、锁边机等运行时产生的噪声，根据类比调查，噪声源强为70～85dB（A）。本项目采用隔声、消声、减振等方式治理噪声污染。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7"/>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自动口罩机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棉球机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85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缝纫机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制帽机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80</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锁边机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80</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60</w:t>
                  </w:r>
                </w:p>
              </w:tc>
            </w:tr>
          </w:tbl>
          <w:p>
            <w:pPr>
              <w:pStyle w:val="9"/>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8"/>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968"/>
              <w:gridCol w:w="1844"/>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2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2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不合格产品</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32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废包装</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lang w:val="en-US" w:eastAsia="zh-CN"/>
                    </w:rPr>
                    <w:t>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2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63" w:type="dxa"/>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96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0.6t/a</w:t>
                  </w:r>
                </w:p>
              </w:tc>
              <w:tc>
                <w:tcPr>
                  <w:tcW w:w="1844"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3211" w:type="dxa"/>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17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环氧乙烷吸收液</w:t>
                  </w:r>
                </w:p>
              </w:tc>
              <w:tc>
                <w:tcPr>
                  <w:tcW w:w="96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1.12t/a</w:t>
                  </w:r>
                </w:p>
              </w:tc>
              <w:tc>
                <w:tcPr>
                  <w:tcW w:w="1844"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3211" w:type="dxa"/>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96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bCs/>
                      <w:szCs w:val="21"/>
                      <w:lang w:val="en-US" w:eastAsia="zh-CN"/>
                    </w:rPr>
                    <w:t>9</w:t>
                  </w:r>
                  <w:r>
                    <w:rPr>
                      <w:rFonts w:hint="default" w:ascii="Times New Roman" w:hAnsi="Times New Roman" w:cs="Times New Roman"/>
                      <w:bCs/>
                      <w:szCs w:val="21"/>
                    </w:rPr>
                    <w:t>.0t/a</w:t>
                  </w:r>
                </w:p>
              </w:tc>
              <w:tc>
                <w:tcPr>
                  <w:tcW w:w="1844"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1"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7"/>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5839"/>
            <w:bookmarkStart w:id="2" w:name="_Toc27259"/>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本项目灭菌、解析废气先经一套水吸收进行处理，然后与包装、封口废气一同经一套活性炭（碘值不低于800mg/g）吸附装置处理后，最后经一根23m高排气筒（P1）排放。本项目废气经处理后可达标排放。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w:t>
            </w:r>
            <w:r>
              <w:rPr>
                <w:rFonts w:hint="default" w:ascii="Times New Roman" w:hAnsi="Times New Roman" w:cs="Times New Roman"/>
                <w:sz w:val="24"/>
              </w:rPr>
              <w:t>91410728MA9K</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11DU8J)关于《河南华尔尚实业有限公司年产2.8万件Ⅰ类、Ⅱ类医用卫生材料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印发河南省企业投资项目承诺制改革环评文件告知承诺审批实施细则(试行)的通知》(豫环办(2021)65号)文件精神，依据你公司及环评文件编制单位的承诺，我局原则同意你公司按照《环境影响报告表》所列项目的性质、规模、地点、采用的生产工艺和环境保护对策措施进行项目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按照规定及时进行竣工环境保护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7"/>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7"/>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6"/>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本次验收监测委托河南鑫成环境保护监测有限公司进行。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河南鑫成环境保护监测有限公司具备检测机构资质认定证书，见附件。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6"/>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7"/>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1180"/>
              <w:gridCol w:w="3446"/>
              <w:gridCol w:w="1935"/>
              <w:gridCol w:w="1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检测类别</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检测项目</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检测标准（方法）</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检测仪器</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有组织废气</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废气流量</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固定污染源排气中颗粒物测定与气态污染物采样方法 （7 排气流速、流量的测定）GB/T 16157-1996及修改单</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低浓度自动烟尘烟气综合测试仪ZR-3260D型</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（DSYQ-W007-2）</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固定污染源废气</w:t>
                  </w:r>
                  <w:r>
                    <w:rPr>
                      <w:rStyle w:val="38"/>
                      <w:rFonts w:hint="default" w:ascii="Times New Roman" w:hAnsi="Times New Roman" w:eastAsia="宋体" w:cs="Times New Roman"/>
                      <w:i w:val="0"/>
                      <w:color w:val="000000"/>
                      <w:kern w:val="0"/>
                      <w:sz w:val="21"/>
                      <w:szCs w:val="21"/>
                      <w:lang w:val="en-US" w:eastAsia="zh-CN" w:bidi="ar"/>
                    </w:rPr>
                    <w:t xml:space="preserve"> 总烃、甲烷和非甲烷总烃的测定 气相色谱法 HJ 38-2017</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气相色谱仪</w:t>
                  </w:r>
                  <w:r>
                    <w:rPr>
                      <w:rStyle w:val="38"/>
                      <w:rFonts w:hint="default" w:ascii="Times New Roman" w:hAnsi="Times New Roman" w:eastAsia="宋体" w:cs="Times New Roman"/>
                      <w:i w:val="0"/>
                      <w:color w:val="000000"/>
                      <w:kern w:val="0"/>
                      <w:sz w:val="21"/>
                      <w:szCs w:val="21"/>
                      <w:lang w:val="en-US" w:eastAsia="zh-CN" w:bidi="ar"/>
                    </w:rPr>
                    <w:t xml:space="preserve">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w:t>
                  </w:r>
                  <w:r>
                    <w:rPr>
                      <w:rStyle w:val="38"/>
                      <w:rFonts w:hint="default" w:ascii="Times New Roman" w:hAnsi="Times New Roman" w:eastAsia="宋体" w:cs="Times New Roman"/>
                      <w:i w:val="0"/>
                      <w:color w:val="000000"/>
                      <w:kern w:val="0"/>
                      <w:sz w:val="21"/>
                      <w:szCs w:val="21"/>
                      <w:lang w:val="en-US" w:eastAsia="zh-CN" w:bidi="ar"/>
                    </w:rPr>
                    <w:t>DSYQ-N003-3</w:t>
                  </w:r>
                  <w:r>
                    <w:rPr>
                      <w:rStyle w:val="38"/>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0.07mg/m</w:t>
                  </w:r>
                  <w:r>
                    <w:rPr>
                      <w:rStyle w:val="38"/>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无组织废气</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环境空气</w:t>
                  </w:r>
                  <w:r>
                    <w:rPr>
                      <w:rStyle w:val="38"/>
                      <w:rFonts w:hint="default" w:ascii="Times New Roman" w:hAnsi="Times New Roman" w:eastAsia="宋体" w:cs="Times New Roman"/>
                      <w:i w:val="0"/>
                      <w:color w:val="000000"/>
                      <w:kern w:val="0"/>
                      <w:sz w:val="21"/>
                      <w:szCs w:val="21"/>
                      <w:lang w:val="en-US" w:eastAsia="zh-CN" w:bidi="ar"/>
                    </w:rPr>
                    <w:t xml:space="preserve"> 总烃、甲烷和非甲烷总烃的测定 直接进样-</w:t>
                  </w:r>
                  <w:r>
                    <w:rPr>
                      <w:rStyle w:val="38"/>
                      <w:rFonts w:hint="eastAsia" w:ascii="Times New Roman" w:hAnsi="Times New Roman" w:eastAsia="宋体" w:cs="Times New Roman"/>
                      <w:i w:val="0"/>
                      <w:color w:val="000000"/>
                      <w:kern w:val="0"/>
                      <w:sz w:val="21"/>
                      <w:szCs w:val="21"/>
                      <w:lang w:val="en-US" w:eastAsia="zh-CN" w:bidi="ar"/>
                    </w:rPr>
                    <w:t>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HJ 604-2017</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气相色谱仪</w:t>
                  </w:r>
                  <w:r>
                    <w:rPr>
                      <w:rStyle w:val="38"/>
                      <w:rFonts w:hint="default" w:ascii="Times New Roman" w:hAnsi="Times New Roman" w:eastAsia="宋体" w:cs="Times New Roman"/>
                      <w:i w:val="0"/>
                      <w:color w:val="000000"/>
                      <w:kern w:val="0"/>
                      <w:sz w:val="21"/>
                      <w:szCs w:val="21"/>
                      <w:lang w:val="en-US" w:eastAsia="zh-CN" w:bidi="ar"/>
                    </w:rPr>
                    <w:t xml:space="preserve">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w:t>
                  </w:r>
                  <w:r>
                    <w:rPr>
                      <w:rStyle w:val="38"/>
                      <w:rFonts w:hint="default" w:ascii="Times New Roman" w:hAnsi="Times New Roman" w:eastAsia="宋体" w:cs="Times New Roman"/>
                      <w:i w:val="0"/>
                      <w:color w:val="000000"/>
                      <w:kern w:val="0"/>
                      <w:sz w:val="21"/>
                      <w:szCs w:val="21"/>
                      <w:lang w:val="en-US" w:eastAsia="zh-CN" w:bidi="ar"/>
                    </w:rPr>
                    <w:t>DSYQ-N003-3</w:t>
                  </w:r>
                  <w:r>
                    <w:rPr>
                      <w:rStyle w:val="38"/>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0.07mg/m</w:t>
                  </w:r>
                  <w:r>
                    <w:rPr>
                      <w:rStyle w:val="38"/>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噪声</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等效声级</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工业企业厂界环境噪声排放标准 GB 12348-2008</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多功能声级计 AWA5688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i w:val="0"/>
                      <w:color w:val="000000"/>
                      <w:kern w:val="0"/>
                      <w:sz w:val="21"/>
                      <w:szCs w:val="21"/>
                      <w:lang w:val="en-US" w:eastAsia="zh-CN" w:bidi="ar"/>
                    </w:rPr>
                    <w:t>（DSYQ-W001-</w:t>
                  </w:r>
                  <w:r>
                    <w:rPr>
                      <w:rStyle w:val="38"/>
                      <w:rFonts w:hint="eastAsia" w:ascii="Times New Roman" w:hAnsi="Times New Roman" w:eastAsia="宋体" w:cs="Times New Roman"/>
                      <w:i w:val="0"/>
                      <w:color w:val="000000"/>
                      <w:kern w:val="0"/>
                      <w:sz w:val="21"/>
                      <w:szCs w:val="21"/>
                      <w:lang w:val="en-US" w:eastAsia="zh-CN" w:bidi="ar"/>
                    </w:rPr>
                    <w:t>4</w:t>
                  </w:r>
                  <w:r>
                    <w:rPr>
                      <w:rStyle w:val="38"/>
                      <w:rFonts w:hint="default"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8"/>
                      <w:rFonts w:hint="default" w:ascii="Times New Roman" w:hAnsi="Times New Roman" w:eastAsia="宋体" w:cs="Times New Roman"/>
                      <w:i w:val="0"/>
                      <w:color w:val="000000"/>
                      <w:kern w:val="0"/>
                      <w:sz w:val="21"/>
                      <w:szCs w:val="21"/>
                      <w:lang w:val="en-US" w:eastAsia="zh-CN" w:bidi="ar"/>
                    </w:rPr>
                  </w:pPr>
                  <w:r>
                    <w:rPr>
                      <w:rStyle w:val="38"/>
                      <w:rFonts w:hint="eastAsia" w:ascii="Times New Roman" w:hAnsi="Times New Roman" w:eastAsia="宋体" w:cs="Times New Roman"/>
                      <w:i w:val="0"/>
                      <w:color w:val="000000"/>
                      <w:kern w:val="0"/>
                      <w:sz w:val="21"/>
                      <w:szCs w:val="21"/>
                      <w:lang w:val="en-US" w:eastAsia="zh-CN" w:bidi="ar"/>
                    </w:rPr>
                    <w:t>28dB（A）</w:t>
                  </w:r>
                </w:p>
              </w:tc>
            </w:tr>
          </w:tbl>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7"/>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6"/>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8"/>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823"/>
              <w:gridCol w:w="948"/>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8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94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3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灭菌解析封口/废气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喷淋塔+</w:t>
                  </w:r>
                  <w:r>
                    <w:rPr>
                      <w:rFonts w:hint="default" w:ascii="Times New Roman" w:hAnsi="Times New Roman" w:eastAsia="宋体" w:cs="Times New Roman"/>
                      <w:color w:val="auto"/>
                      <w:kern w:val="0"/>
                      <w:sz w:val="21"/>
                      <w:szCs w:val="21"/>
                      <w:highlight w:val="none"/>
                      <w:lang w:val="en-US" w:eastAsia="zh-CN"/>
                    </w:rPr>
                    <w:t>活性炭吸附装置+15m排气筒</w:t>
                  </w:r>
                  <w:r>
                    <w:rPr>
                      <w:rFonts w:hint="eastAsia" w:ascii="Times New Roman" w:hAnsi="Times New Roman" w:eastAsia="宋体" w:cs="Times New Roman"/>
                      <w:color w:val="auto"/>
                      <w:kern w:val="0"/>
                      <w:sz w:val="21"/>
                      <w:szCs w:val="21"/>
                      <w:highlight w:val="none"/>
                      <w:lang w:val="en-US" w:eastAsia="zh-CN"/>
                    </w:rPr>
                    <w:t>（P1）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327"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满足《大气污染物综合排放标准》（GB16297-1996）表2排放要求</w:t>
                  </w:r>
                  <w:r>
                    <w:rPr>
                      <w:rFonts w:hint="eastAsia" w:ascii="Times New Roman" w:hAnsi="Times New Roman" w:cs="Times New Roman" w:eastAsiaTheme="minorEastAsia"/>
                      <w:color w:val="auto"/>
                      <w:sz w:val="21"/>
                      <w:szCs w:val="21"/>
                      <w:vertAlign w:val="baseline"/>
                      <w:lang w:val="en-US" w:eastAsia="zh-CN"/>
                    </w:rPr>
                    <w:t>，同时满足</w:t>
                  </w: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《关于全省开展工业企业挥发性有机物专项治理工作中排放建议值的通知》（豫环攻坚办[2017]162号）中其他行业相关标准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非甲烷总烃、颗粒物</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327"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6"/>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cs="Times New Roman" w:eastAsiaTheme="minorEastAsia"/>
                <w:color w:val="000000" w:themeColor="text1"/>
                <w:sz w:val="24"/>
                <w:szCs w:val="24"/>
                <w:lang w:eastAsia="zh-CN"/>
                <w14:textFill>
                  <w14:solidFill>
                    <w14:schemeClr w14:val="tx1"/>
                  </w14:solidFill>
                </w14:textFill>
              </w:rPr>
              <w:t>定期清掏，不外排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pPr>
              <w:pStyle w:val="6"/>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8"/>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6"/>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7"/>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13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91"/>
              <w:gridCol w:w="1191"/>
              <w:gridCol w:w="1191"/>
              <w:gridCol w:w="1361"/>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130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检测因子</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检测频次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排放浓度（</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（kg/h）</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标干流量（m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130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2022.1</w:t>
                  </w:r>
                  <w:r>
                    <w:rPr>
                      <w:rFonts w:hint="eastAsia" w:ascii="Times New Roman" w:hAnsi="Times New Roman" w:cs="Times New Roman"/>
                      <w:sz w:val="21"/>
                      <w:szCs w:val="21"/>
                      <w:highlight w:val="none"/>
                      <w:lang w:val="en-US" w:eastAsia="zh-CN"/>
                    </w:rPr>
                    <w:t>1.28</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喷淋塔+活性炭吸附进口</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非甲烷总烃</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0.318</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3.60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87.8</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0.332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3.78</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87.3</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0.326</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3.73</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均值</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average(E2:E4)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87.8</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average(F2:F4)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0.325</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average(G2:G4)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3.70×10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喷淋塔+活性炭吸附出口</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7.24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4.36</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7.82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4.12</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7.94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0.033</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vertAlign w:val="superscript"/>
                      <w:lang w:val="en-US" w:eastAsia="zh-CN"/>
                    </w:rPr>
                  </w:pPr>
                  <w:r>
                    <w:rPr>
                      <w:rFonts w:hint="eastAsia" w:ascii="Times New Roman" w:hAnsi="Times New Roman" w:eastAsia="宋体" w:cs="Times New Roman"/>
                      <w:sz w:val="21"/>
                      <w:szCs w:val="21"/>
                      <w:highlight w:val="none"/>
                      <w:vertAlign w:val="baseline"/>
                      <w:lang w:val="en-US" w:eastAsia="zh-CN"/>
                    </w:rPr>
                    <w:t>4.12</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均值</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average(E6:E8)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7.67</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average(G6:G8)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4.2</w:t>
                  </w:r>
                  <w:r>
                    <w:rPr>
                      <w:rFonts w:hint="default" w:ascii="Times New Roman" w:hAnsi="Times New Roman" w:eastAsia="宋体" w:cs="Times New Roman"/>
                      <w:sz w:val="21"/>
                      <w:szCs w:val="21"/>
                      <w:highlight w:val="none"/>
                      <w:lang w:val="en-US" w:eastAsia="zh-CN"/>
                    </w:rPr>
                    <w:fldChar w:fldCharType="end"/>
                  </w:r>
                  <w:r>
                    <w:rPr>
                      <w:rFonts w:hint="eastAsia"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2022.1</w:t>
                  </w:r>
                  <w:r>
                    <w:rPr>
                      <w:rFonts w:hint="eastAsia" w:ascii="Times New Roman" w:hAnsi="Times New Roman" w:cs="Times New Roman"/>
                      <w:sz w:val="21"/>
                      <w:szCs w:val="21"/>
                      <w:highlight w:val="none"/>
                      <w:lang w:val="en-US" w:eastAsia="zh-CN"/>
                    </w:rPr>
                    <w:t>1.29</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喷淋塔+活性炭吸附进口</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非甲烷总烃</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0.339</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3.83</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0.322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3.68</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89.6</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0.341</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3.81</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均值</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average(E10:E12)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88.</w:t>
                  </w: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average(F10:F12)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0.334</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average(G10:G12)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3.77×10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喷淋塔+活性炭吸附出口</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7.92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0.034</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4.24</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7.16</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0.031</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4.32</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7.77</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4.14</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均值</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average(E14:E16)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7.6</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average(F14:F16)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0.032</w:t>
                  </w:r>
                  <w:r>
                    <w:rPr>
                      <w:rFonts w:hint="default" w:ascii="Times New Roman" w:hAnsi="Times New Roman" w:eastAsia="宋体" w:cs="Times New Roman"/>
                      <w:sz w:val="21"/>
                      <w:szCs w:val="21"/>
                      <w:highlight w:val="none"/>
                      <w:lang w:val="en-US" w:eastAsia="zh-CN"/>
                    </w:rPr>
                    <w:fldChar w:fldCharType="end"/>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fldChar w:fldCharType="begin"/>
                  </w:r>
                  <w:r>
                    <w:rPr>
                      <w:rFonts w:hint="default" w:ascii="Times New Roman" w:hAnsi="Times New Roman" w:eastAsia="宋体" w:cs="Times New Roman"/>
                      <w:sz w:val="21"/>
                      <w:szCs w:val="21"/>
                      <w:highlight w:val="none"/>
                      <w:lang w:val="en-US" w:eastAsia="zh-CN"/>
                    </w:rPr>
                    <w:instrText xml:space="preserve"> = average(G14:G16) \* MERGEFORMAT </w:instrText>
                  </w:r>
                  <w:r>
                    <w:rPr>
                      <w:rFonts w:hint="default" w:ascii="Times New Roman" w:hAnsi="Times New Roman" w:eastAsia="宋体"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4.23×10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620"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去除效率：90.3%</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总排放口非甲烷总烃排放浓度在7.16-7.94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0.031~0.033kg/h，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959"/>
              <w:gridCol w:w="1247"/>
              <w:gridCol w:w="794"/>
              <w:gridCol w:w="1361"/>
              <w:gridCol w:w="794"/>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检测因子</w:t>
                  </w:r>
                </w:p>
              </w:tc>
              <w:tc>
                <w:tcPr>
                  <w:tcW w:w="1959"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1247"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检测频次</w:t>
                  </w:r>
                </w:p>
              </w:tc>
              <w:tc>
                <w:tcPr>
                  <w:tcW w:w="2155" w:type="dxa"/>
                  <w:gridSpan w:val="2"/>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w:t>
                  </w:r>
                  <w:r>
                    <w:rPr>
                      <w:rFonts w:hint="eastAsia" w:ascii="Times New Roman" w:hAnsi="Times New Roman" w:eastAsia="宋体" w:cs="Times New Roman"/>
                      <w:color w:val="auto"/>
                      <w:sz w:val="21"/>
                      <w:szCs w:val="21"/>
                      <w:highlight w:val="none"/>
                      <w:lang w:val="en-US" w:eastAsia="zh-CN"/>
                    </w:rPr>
                    <w:t>1.28</w:t>
                  </w:r>
                </w:p>
              </w:tc>
              <w:tc>
                <w:tcPr>
                  <w:tcW w:w="2155" w:type="dxa"/>
                  <w:gridSpan w:val="2"/>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w:t>
                  </w:r>
                  <w:r>
                    <w:rPr>
                      <w:rFonts w:hint="eastAsia" w:ascii="Times New Roman" w:hAnsi="Times New Roman" w:eastAsia="宋体" w:cs="Times New Roman"/>
                      <w:color w:val="auto"/>
                      <w:sz w:val="21"/>
                      <w:szCs w:val="21"/>
                      <w:highlight w:val="no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247"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时间</w:t>
                  </w:r>
                </w:p>
              </w:tc>
              <w:tc>
                <w:tcPr>
                  <w:tcW w:w="1361"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浓度</w:t>
                  </w:r>
                </w:p>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z w:val="21"/>
                      <w:szCs w:val="21"/>
                      <w:highlight w:val="none"/>
                      <w:lang w:val="en-US" w:eastAsia="zh-CN" w:bidi="ar-SA"/>
                    </w:rPr>
                    <w:t>时间</w:t>
                  </w:r>
                </w:p>
              </w:tc>
              <w:tc>
                <w:tcPr>
                  <w:tcW w:w="1361"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浓度</w:t>
                  </w:r>
                </w:p>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非甲烷总烃</w:t>
                  </w:r>
                </w:p>
              </w:tc>
              <w:tc>
                <w:tcPr>
                  <w:tcW w:w="1959" w:type="dxa"/>
                  <w:vMerge w:val="restart"/>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eastAsia="zh-CN"/>
                    </w:rPr>
                    <w:t>上风向参照点</w:t>
                  </w:r>
                  <w:r>
                    <w:rPr>
                      <w:rFonts w:hint="default" w:ascii="Times New Roman" w:hAnsi="Times New Roman" w:eastAsia="宋体" w:cs="Times New Roman"/>
                      <w:color w:val="auto"/>
                      <w:sz w:val="21"/>
                      <w:szCs w:val="21"/>
                      <w:highlight w:val="none"/>
                      <w:lang w:val="en-US" w:eastAsia="zh-CN"/>
                    </w:rPr>
                    <w:t>0#</w:t>
                  </w: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第1次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1.04</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8:00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第2次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9:01</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1.07</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9:00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第3次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10:00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10:00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bidi="ar-SA"/>
                    </w:rPr>
                    <w:t>下风向监控点1#</w:t>
                  </w: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第1次</w:t>
                  </w:r>
                </w:p>
              </w:tc>
              <w:tc>
                <w:tcPr>
                  <w:tcW w:w="794" w:type="dxa"/>
                  <w:noWrap w:val="0"/>
                  <w:vAlign w:val="center"/>
                </w:tcPr>
                <w:p>
                  <w:pPr>
                    <w:keepNext w:val="0"/>
                    <w:keepLines w:val="0"/>
                    <w:pageBreakBefore w:val="0"/>
                    <w:tabs>
                      <w:tab w:val="left" w:pos="485"/>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8:15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1.59</w:t>
                  </w:r>
                </w:p>
              </w:tc>
              <w:tc>
                <w:tcPr>
                  <w:tcW w:w="794" w:type="dxa"/>
                  <w:noWrap w:val="0"/>
                  <w:vAlign w:val="center"/>
                </w:tcPr>
                <w:p>
                  <w:pPr>
                    <w:keepNext w:val="0"/>
                    <w:keepLines w:val="0"/>
                    <w:pageBreakBefore w:val="0"/>
                    <w:tabs>
                      <w:tab w:val="left" w:pos="485"/>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8:15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第2次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9:16</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1.67</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9:15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第3次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10:14</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10:15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bidi="ar-SA"/>
                    </w:rPr>
                    <w:t>下风向监控点2#</w:t>
                  </w: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第1次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8:30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1.64</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8:30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第2次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9:31</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1.66</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9:30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第3次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10:30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10:30</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下风向监控点3#</w:t>
                  </w: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第1次</w:t>
                  </w:r>
                </w:p>
              </w:tc>
              <w:tc>
                <w:tcPr>
                  <w:tcW w:w="794" w:type="dxa"/>
                  <w:noWrap w:val="0"/>
                  <w:vAlign w:val="center"/>
                </w:tcPr>
                <w:p>
                  <w:pPr>
                    <w:keepNext w:val="0"/>
                    <w:keepLines w:val="0"/>
                    <w:pageBreakBefore w:val="0"/>
                    <w:tabs>
                      <w:tab w:val="left" w:pos="395"/>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w:t>
                  </w:r>
                </w:p>
              </w:tc>
              <w:tc>
                <w:tcPr>
                  <w:tcW w:w="794" w:type="dxa"/>
                  <w:noWrap w:val="0"/>
                  <w:vAlign w:val="center"/>
                </w:tcPr>
                <w:p>
                  <w:pPr>
                    <w:keepNext w:val="0"/>
                    <w:keepLines w:val="0"/>
                    <w:pageBreakBefore w:val="0"/>
                    <w:tabs>
                      <w:tab w:val="left" w:pos="395"/>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第2次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1.51</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9:45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959"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1247"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第3次</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w:t>
                  </w:r>
                </w:p>
              </w:tc>
              <w:tc>
                <w:tcPr>
                  <w:tcW w:w="794" w:type="dxa"/>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10:45</w:t>
                  </w:r>
                </w:p>
              </w:tc>
              <w:tc>
                <w:tcPr>
                  <w:tcW w:w="1361" w:type="dxa"/>
                  <w:noWrap w:val="0"/>
                  <w:vAlign w:val="center"/>
                </w:tcPr>
                <w:p>
                  <w:pPr>
                    <w:pStyle w:val="11"/>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在1.04-1.67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10"/>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15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7"/>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135"/>
              <w:gridCol w:w="25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21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1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昼间dB (A)</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间dB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1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2022.1</w:t>
                  </w:r>
                  <w:r>
                    <w:rPr>
                      <w:rFonts w:hint="eastAsia" w:ascii="Times New Roman" w:hAnsi="Times New Roman" w:cs="Times New Roman"/>
                      <w:sz w:val="21"/>
                      <w:szCs w:val="21"/>
                      <w:highlight w:val="none"/>
                      <w:lang w:val="en-US" w:eastAsia="zh-CN"/>
                    </w:rPr>
                    <w:t>1.28</w:t>
                  </w: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53.6</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2022.1</w:t>
                  </w:r>
                  <w:r>
                    <w:rPr>
                      <w:rFonts w:hint="eastAsia" w:ascii="Times New Roman" w:hAnsi="Times New Roman" w:cs="Times New Roman"/>
                      <w:sz w:val="21"/>
                      <w:szCs w:val="21"/>
                      <w:highlight w:val="none"/>
                      <w:lang w:val="en-US" w:eastAsia="zh-CN"/>
                    </w:rPr>
                    <w:t>1.29</w:t>
                  </w: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52.4</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45.7</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57.3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0"/>
              <w:keepNext w:val="0"/>
              <w:keepLines w:val="0"/>
              <w:pageBreakBefore w:val="0"/>
              <w:widowControl/>
              <w:numPr>
                <w:ilvl w:val="0"/>
                <w:numId w:val="3"/>
              </w:numPr>
              <w:kinsoku/>
              <w:wordWrap/>
              <w:overflowPunct/>
              <w:topLinePunct w:val="0"/>
              <w:autoSpaceDE/>
              <w:autoSpaceDN/>
              <w:bidi w:val="0"/>
              <w:adjustRightInd/>
              <w:snapToGrid/>
              <w:spacing w:after="0" w:line="520" w:lineRule="exact"/>
              <w:ind w:left="0" w:leftChars="0" w:firstLine="482" w:firstLineChars="200"/>
              <w:textAlignment w:val="auto"/>
              <w:outlineLvl w:val="9"/>
              <w:rPr>
                <w:rFonts w:hint="eastAsia"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SA"/>
                <w14:textFill>
                  <w14:solidFill>
                    <w14:schemeClr w14:val="tx1"/>
                  </w14:solidFill>
                </w14:textFill>
              </w:rPr>
              <w:t>污染物总量核算</w:t>
            </w:r>
          </w:p>
          <w:p>
            <w:pPr>
              <w:pStyle w:val="10"/>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SA"/>
                <w14:textFill>
                  <w14:solidFill>
                    <w14:schemeClr w14:val="tx1"/>
                  </w14:solidFill>
                </w14:textFill>
              </w:rPr>
              <w:t>本次验收项目涉及的大气污染物总量指标为非甲烷总烃，污染物排放总量见下表所示。</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lang w:val="en-US"/>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eastAsia" w:ascii="Times New Roman" w:hAnsi="Times New Roman" w:cs="Times New Roman" w:eastAsiaTheme="minorEastAsia"/>
                <w:b/>
                <w:sz w:val="24"/>
                <w:szCs w:val="24"/>
                <w:lang w:eastAsia="zh-CN"/>
              </w:rPr>
              <w:t>废气核</w:t>
            </w:r>
            <w:r>
              <w:rPr>
                <w:rFonts w:hint="eastAsia" w:ascii="Times New Roman" w:hAnsi="Times New Roman" w:cs="Times New Roman" w:eastAsiaTheme="minorEastAsia"/>
                <w:b/>
                <w:sz w:val="24"/>
                <w:szCs w:val="24"/>
                <w:highlight w:val="none"/>
                <w:lang w:eastAsia="zh-CN"/>
              </w:rPr>
              <w:t>算一览表</w:t>
            </w:r>
            <w:r>
              <w:rPr>
                <w:rFonts w:hint="eastAsia" w:ascii="Times New Roman" w:hAnsi="Times New Roman" w:cs="Times New Roman" w:eastAsiaTheme="minorEastAsia"/>
                <w:b/>
                <w:sz w:val="24"/>
                <w:szCs w:val="24"/>
                <w:highlight w:val="none"/>
                <w:lang w:val="en-US" w:eastAsia="zh-CN"/>
              </w:rPr>
              <w:t xml:space="preserve">  </w:t>
            </w:r>
            <w:r>
              <w:rPr>
                <w:rFonts w:hint="eastAsia" w:ascii="Times New Roman" w:hAnsi="Times New Roman" w:cs="Times New Roman" w:eastAsiaTheme="minorEastAsia"/>
                <w:b/>
                <w:sz w:val="24"/>
                <w:szCs w:val="24"/>
                <w:lang w:val="en-US" w:eastAsia="zh-CN"/>
              </w:rPr>
              <w:t>单位：t/a</w:t>
            </w:r>
          </w:p>
          <w:tbl>
            <w:tblPr>
              <w:tblStyle w:val="17"/>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43"/>
              <w:gridCol w:w="2872"/>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 w:hRule="atLeast"/>
                <w:jc w:val="center"/>
              </w:trPr>
              <w:tc>
                <w:tcPr>
                  <w:tcW w:w="18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污染因子</w:t>
                  </w:r>
                </w:p>
              </w:tc>
              <w:tc>
                <w:tcPr>
                  <w:tcW w:w="15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实际排放总量</w:t>
                  </w:r>
                </w:p>
              </w:tc>
              <w:tc>
                <w:tcPr>
                  <w:tcW w:w="15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8" w:hRule="atLeast"/>
                <w:jc w:val="center"/>
              </w:trPr>
              <w:tc>
                <w:tcPr>
                  <w:tcW w:w="18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非甲烷总烃</w:t>
                  </w:r>
                </w:p>
              </w:tc>
              <w:tc>
                <w:tcPr>
                  <w:tcW w:w="15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0.0768</w:t>
                  </w:r>
                  <w:r>
                    <w:rPr>
                      <w:rFonts w:hint="default" w:ascii="Times New Roman" w:hAnsi="Times New Roman" w:eastAsia="宋体" w:cs="Times New Roman"/>
                      <w:color w:val="000000"/>
                      <w:sz w:val="21"/>
                      <w:szCs w:val="21"/>
                      <w:highlight w:val="none"/>
                      <w:lang w:val="en-US" w:eastAsia="zh-CN" w:bidi="ar-SA"/>
                    </w:rPr>
                    <w:t>t/a</w:t>
                  </w:r>
                </w:p>
              </w:tc>
              <w:tc>
                <w:tcPr>
                  <w:tcW w:w="15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0.1149t/a</w:t>
                  </w:r>
                </w:p>
              </w:tc>
            </w:tr>
          </w:tbl>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10"/>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7"/>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11月28日工况为80.6%，11月29日工况为80.9%，</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总排放口非甲烷总烃排放浓度在7.16-7.94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0.031~0.033kg/h，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在1.04-1.67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理后</w:t>
            </w:r>
            <w:r>
              <w:rPr>
                <w:rFonts w:hint="eastAsia"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 xml:space="preserve">填表单位（盖章）：河南华尔尚实业有限公司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7"/>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021"/>
        <w:gridCol w:w="1911"/>
        <w:gridCol w:w="1329"/>
        <w:gridCol w:w="1900"/>
        <w:gridCol w:w="161"/>
        <w:gridCol w:w="571"/>
        <w:gridCol w:w="508"/>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840" w:type="dxa"/>
            <w:vMerge w:val="restart"/>
            <w:shd w:val="clear" w:color="auto" w:fill="auto"/>
            <w:textDirection w:val="tbRlV"/>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年产2.8万件Ⅰ类、Ⅱ类医用卫生材料项目</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3240" w:type="dxa"/>
            <w:gridSpan w:val="2"/>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2204-410728-04-01-636675</w:t>
            </w:r>
          </w:p>
        </w:tc>
        <w:tc>
          <w:tcPr>
            <w:tcW w:w="1900" w:type="dxa"/>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长垣市丁栾镇枣园路66号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C2770卫生材料及医药用品制造；</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3240"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632" w:type="dxa"/>
            <w:gridSpan w:val="3"/>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东经 114 度 43 分 1.571 秒</w:t>
            </w:r>
          </w:p>
        </w:tc>
        <w:tc>
          <w:tcPr>
            <w:tcW w:w="2712" w:type="dxa"/>
            <w:gridSpan w:val="4"/>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北纬35 度 15 分 28.512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年产2.8万件Ⅰ类、Ⅱ类医用卫生材料</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3240" w:type="dxa"/>
            <w:gridSpan w:val="2"/>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年产2.8万件Ⅰ类、Ⅱ类医用卫生材料</w:t>
            </w:r>
          </w:p>
        </w:tc>
        <w:tc>
          <w:tcPr>
            <w:tcW w:w="206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河北城羿环保工程有限公司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3240" w:type="dxa"/>
            <w:gridSpan w:val="2"/>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eastAsiaTheme="minorEastAsia"/>
                <w:b w:val="0"/>
                <w:color w:val="auto"/>
                <w:sz w:val="18"/>
                <w:szCs w:val="18"/>
                <w:highlight w:val="none"/>
                <w:lang w:val="en-US" w:eastAsia="zh-CN"/>
              </w:rPr>
              <w:t>长环审（</w:t>
            </w:r>
            <w:r>
              <w:rPr>
                <w:rFonts w:hint="eastAsia" w:ascii="Times New Roman" w:hAnsi="Times New Roman" w:cs="Times New Roman" w:eastAsiaTheme="minorEastAsia"/>
                <w:b w:val="0"/>
                <w:color w:val="auto"/>
                <w:sz w:val="18"/>
                <w:szCs w:val="18"/>
                <w:highlight w:val="none"/>
                <w:lang w:val="en-US" w:eastAsia="zh-CN"/>
              </w:rPr>
              <w:t>2022</w:t>
            </w:r>
            <w:r>
              <w:rPr>
                <w:rFonts w:hint="default" w:ascii="Times New Roman" w:hAnsi="Times New Roman" w:cs="Times New Roman" w:eastAsiaTheme="minorEastAsia"/>
                <w:b w:val="0"/>
                <w:color w:val="auto"/>
                <w:sz w:val="18"/>
                <w:szCs w:val="18"/>
                <w:highlight w:val="none"/>
                <w:lang w:val="en-US" w:eastAsia="zh-CN"/>
              </w:rPr>
              <w:t>）</w:t>
            </w:r>
            <w:r>
              <w:rPr>
                <w:rFonts w:hint="eastAsia" w:ascii="Times New Roman" w:hAnsi="Times New Roman" w:cs="Times New Roman" w:eastAsiaTheme="minorEastAsia"/>
                <w:b w:val="0"/>
                <w:color w:val="auto"/>
                <w:sz w:val="18"/>
                <w:szCs w:val="18"/>
                <w:highlight w:val="none"/>
                <w:lang w:val="en-US" w:eastAsia="zh-CN"/>
              </w:rPr>
              <w:t>21</w:t>
            </w:r>
            <w:r>
              <w:rPr>
                <w:rFonts w:hint="default" w:ascii="Times New Roman" w:hAnsi="Times New Roman" w:cs="Times New Roman" w:eastAsiaTheme="minorEastAsia"/>
                <w:b w:val="0"/>
                <w:color w:val="auto"/>
                <w:sz w:val="18"/>
                <w:szCs w:val="18"/>
                <w:highlight w:val="none"/>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highlight w:val="none"/>
                <w:lang w:val="en-US" w:eastAsia="zh-CN"/>
              </w:rPr>
              <w:t>20</w:t>
            </w:r>
            <w:r>
              <w:rPr>
                <w:rFonts w:hint="eastAsia" w:ascii="Times New Roman" w:hAnsi="Times New Roman" w:cs="Times New Roman" w:eastAsiaTheme="minorEastAsia"/>
                <w:b w:val="0"/>
                <w:color w:val="auto"/>
                <w:sz w:val="18"/>
                <w:szCs w:val="18"/>
                <w:highlight w:val="none"/>
                <w:lang w:val="en-US" w:eastAsia="zh-CN"/>
              </w:rPr>
              <w:t>22</w:t>
            </w:r>
            <w:r>
              <w:rPr>
                <w:rFonts w:hint="default" w:ascii="Times New Roman" w:hAnsi="Times New Roman" w:cs="Times New Roman" w:eastAsiaTheme="minorEastAsia"/>
                <w:b w:val="0"/>
                <w:color w:val="auto"/>
                <w:sz w:val="18"/>
                <w:szCs w:val="18"/>
                <w:highlight w:val="none"/>
                <w:lang w:val="en-US" w:eastAsia="zh-CN"/>
              </w:rPr>
              <w:t>年</w:t>
            </w:r>
            <w:r>
              <w:rPr>
                <w:rFonts w:hint="eastAsia" w:ascii="Times New Roman" w:hAnsi="Times New Roman" w:cs="Times New Roman" w:eastAsiaTheme="minorEastAsia"/>
                <w:b w:val="0"/>
                <w:color w:val="auto"/>
                <w:sz w:val="18"/>
                <w:szCs w:val="18"/>
                <w:highlight w:val="none"/>
                <w:lang w:val="en-US" w:eastAsia="zh-CN"/>
              </w:rPr>
              <w:t>7</w:t>
            </w:r>
            <w:r>
              <w:rPr>
                <w:rFonts w:hint="default" w:ascii="Times New Roman" w:hAnsi="Times New Roman" w:cs="Times New Roman" w:eastAsiaTheme="minorEastAsia"/>
                <w:b w:val="0"/>
                <w:color w:val="auto"/>
                <w:sz w:val="18"/>
                <w:szCs w:val="18"/>
                <w:highlight w:val="none"/>
                <w:lang w:val="en-US" w:eastAsia="zh-CN"/>
              </w:rPr>
              <w:t>月</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3240"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2022年10月14日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481" w:type="dxa"/>
            <w:gridSpan w:val="2"/>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3240"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91410728MA9K11DU8J</w:t>
            </w:r>
            <w:r>
              <w:rPr>
                <w:rFonts w:hint="eastAsia" w:ascii="Times New Roman" w:hAnsi="Times New Roman" w:cs="Times New Roman" w:eastAsiaTheme="minorEastAsia"/>
                <w:b w:val="0"/>
                <w:color w:val="auto"/>
                <w:sz w:val="18"/>
                <w:szCs w:val="18"/>
                <w:lang w:val="en-US" w:eastAsia="zh-CN"/>
              </w:rPr>
              <w:t>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河南华尔尚实业有限公司</w:t>
            </w:r>
          </w:p>
        </w:tc>
        <w:tc>
          <w:tcPr>
            <w:tcW w:w="2481" w:type="dxa"/>
            <w:gridSpan w:val="2"/>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3240"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河南鑫成环境保护监测有限公司</w:t>
            </w:r>
          </w:p>
        </w:tc>
        <w:tc>
          <w:tcPr>
            <w:tcW w:w="206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80.6%-80.9%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248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3240"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206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481" w:type="dxa"/>
            <w:gridSpan w:val="2"/>
            <w:tcBorders>
              <w:top w:val="single" w:color="auto" w:sz="4" w:space="0"/>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3240" w:type="dxa"/>
            <w:gridSpan w:val="2"/>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2061" w:type="dxa"/>
            <w:gridSpan w:val="2"/>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684" w:type="dxa"/>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434" w:type="dxa"/>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48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3240"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06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48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3240"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河南华尔尚实业有限公司</w:t>
            </w:r>
          </w:p>
        </w:tc>
        <w:tc>
          <w:tcPr>
            <w:tcW w:w="6656" w:type="dxa"/>
            <w:gridSpan w:val="5"/>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3240"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91410728MA9K11DU8J</w:t>
            </w:r>
          </w:p>
        </w:tc>
        <w:tc>
          <w:tcPr>
            <w:tcW w:w="2061" w:type="dxa"/>
            <w:gridSpan w:val="2"/>
            <w:tcBorders>
              <w:left w:val="single" w:color="auto" w:sz="4" w:space="0"/>
              <w:righ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02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91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80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0.0768</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0.0768</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+0.0768</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7"/>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7"/>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0"/>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1"/>
          <w:rFonts w:hint="default" w:ascii="Times New Roman" w:hAnsi="Times New Roman" w:cs="Times New Roman" w:eastAsiaTheme="minorEastAsia"/>
          <w:b/>
          <w:bCs/>
          <w:color w:val="auto"/>
          <w:sz w:val="30"/>
          <w:szCs w:val="30"/>
          <w:lang w:val="en-US" w:eastAsia="zh-CN"/>
        </w:rPr>
      </w:pPr>
      <w:r>
        <w:rPr>
          <w:rStyle w:val="31"/>
          <w:rFonts w:hint="default" w:ascii="Times New Roman" w:hAnsi="Times New Roman" w:cs="Times New Roman" w:eastAsiaTheme="minorEastAsia"/>
          <w:b/>
          <w:bCs/>
          <w:color w:val="auto"/>
          <w:sz w:val="30"/>
          <w:szCs w:val="30"/>
          <w:lang w:val="en-US" w:eastAsia="zh-CN"/>
        </w:rPr>
        <w:t>附图一 项目地理位置图</w:t>
      </w:r>
    </w:p>
    <w:p>
      <w:pPr>
        <w:pStyle w:val="4"/>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2"/>
        </w:rPr>
        <mc:AlternateContent>
          <mc:Choice Requires="wps">
            <w:drawing>
              <wp:anchor distT="0" distB="0" distL="114300" distR="114300" simplePos="0" relativeHeight="251661312" behindDoc="0" locked="0" layoutInCell="1" allowOverlap="1">
                <wp:simplePos x="0" y="0"/>
                <wp:positionH relativeFrom="column">
                  <wp:posOffset>2933065</wp:posOffset>
                </wp:positionH>
                <wp:positionV relativeFrom="paragraph">
                  <wp:posOffset>2075180</wp:posOffset>
                </wp:positionV>
                <wp:extent cx="965200" cy="439420"/>
                <wp:effectExtent l="6350" t="6350" r="19050" b="487680"/>
                <wp:wrapNone/>
                <wp:docPr id="11" name="圆角矩形标注 11"/>
                <wp:cNvGraphicFramePr/>
                <a:graphic xmlns:a="http://schemas.openxmlformats.org/drawingml/2006/main">
                  <a:graphicData uri="http://schemas.microsoft.com/office/word/2010/wordprocessingShape">
                    <wps:wsp>
                      <wps:cNvSpPr/>
                      <wps:spPr>
                        <a:xfrm>
                          <a:off x="0" y="0"/>
                          <a:ext cx="965200" cy="439420"/>
                        </a:xfrm>
                        <a:prstGeom prst="wedgeRoundRectCallout">
                          <a:avLst>
                            <a:gd name="adj1" fmla="val -46443"/>
                            <a:gd name="adj2" fmla="val 15419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0.95pt;margin-top:163.4pt;height:34.6pt;width:76pt;z-index:251661312;v-text-anchor:middle;mso-width-relative:page;mso-height-relative:page;" fillcolor="#FFFFFF [3212]" filled="t" stroked="t" coordsize="21600,21600" o:gfxdata="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vTa5jZAAAA&#10;CwEAAA8AAAAAAAAAAQAgAAAAIgAAAGRycy9kb3ducmV2LnhtbFBLAQIUABQAAAAIAIdO4kBDH5M6&#10;xwIAAJQFAAAOAAAAAAAAAAEAIAAAACgBAABkcnMvZTJvRG9jLnhtbFBLBQYAAAAABgAGAFkBAABh&#10;BgAAAAA=&#10;" adj="768,44105,14400">
                <v:fill on="t" focussize="0,0"/>
                <v:stroke weight="1pt" color="#FF0000 [3204]"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2887345</wp:posOffset>
                </wp:positionH>
                <wp:positionV relativeFrom="paragraph">
                  <wp:posOffset>2875915</wp:posOffset>
                </wp:positionV>
                <wp:extent cx="189230" cy="173355"/>
                <wp:effectExtent l="20320" t="19685" r="38100" b="16510"/>
                <wp:wrapNone/>
                <wp:docPr id="2" name="五角星 2"/>
                <wp:cNvGraphicFramePr/>
                <a:graphic xmlns:a="http://schemas.openxmlformats.org/drawingml/2006/main">
                  <a:graphicData uri="http://schemas.microsoft.com/office/word/2010/wordprocessingShape">
                    <wps:wsp>
                      <wps:cNvSpPr/>
                      <wps:spPr>
                        <a:xfrm>
                          <a:off x="0" y="0"/>
                          <a:ext cx="189230" cy="17335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7.35pt;margin-top:226.45pt;height:13.65pt;width:14.9pt;z-index:251664384;v-text-anchor:middle;mso-width-relative:page;mso-height-relative:page;" fillcolor="#FF0000" filled="t" stroked="t" coordsize="189230,173355" o:gfxdata="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C6lX9YAAAALAQAADwAAAAAAAAABACAAAAAiAAAAZHJzL2Rv&#10;d25yZXYueG1sUEsBAhQAFAAAAAgAh07iQLT8cXV1AgAA9wQAAA4AAAAAAAAAAQAgAAAAJQEAAGRy&#10;cy9lMm9Eb2MueG1sUEsFBgAAAAAGAAYAWQEAAAwGAAAAAA==&#10;" path="m0,66215l72279,66216,94615,0,116950,66216,189229,66215,130754,107138,153090,173354,94615,132430,36139,173354,58475,107138xe">
                <v:path o:connectlocs="94615,0;0,66215;36139,173354;153090,173354;189229,66215" o:connectangles="247,164,82,82,0"/>
                <v:fill on="t" focussize="0,0"/>
                <v:stroke weight="1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45085</wp:posOffset>
                </wp:positionV>
                <wp:extent cx="5612130" cy="8030845"/>
                <wp:effectExtent l="6350" t="6350" r="20320" b="20955"/>
                <wp:wrapNone/>
                <wp:docPr id="40" name="矩形 40"/>
                <wp:cNvGraphicFramePr/>
                <a:graphic xmlns:a="http://schemas.openxmlformats.org/drawingml/2006/main">
                  <a:graphicData uri="http://schemas.microsoft.com/office/word/2010/wordprocessingShape">
                    <wps:wsp>
                      <wps:cNvSpPr/>
                      <wps:spPr>
                        <a:xfrm>
                          <a:off x="944880" y="1410335"/>
                          <a:ext cx="5612130" cy="8030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3.55pt;height:632.35pt;width:441.9pt;z-index:251660288;v-text-anchor:middle;mso-width-relative:page;mso-height-relative:page;" filled="f" stroked="t" coordsize="21600,21600" o:gfxdata="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2Zg3XAAAACQEAAA8AAAAAAAAAAQAgAAAAIgAAAGRycy9k&#10;b3ducmV2LnhtbFBLAQIUABQAAAAIAIdO4kCNknZmdQIAANkEAAAOAAAAAAAAAAEAIAAAACYBAABk&#10;cnMvZTJvRG9jLnhtbFBLBQYAAAAABgAGAFkBAAANBgAAAAA=&#10;">
                <v:fill on="f" focussize="0,0"/>
                <v:stroke weight="1pt" color="#000000 [3213]" miterlimit="8" joinstyle="miter"/>
                <v:imagedata o:title=""/>
                <o:lock v:ext="edit" aspectratio="f"/>
              </v:rect>
            </w:pict>
          </mc:Fallback>
        </mc:AlternateContent>
      </w:r>
      <w:r>
        <w:rPr>
          <w:rFonts w:hint="eastAsia" w:eastAsia="宋体"/>
          <w:sz w:val="32"/>
          <w:szCs w:val="32"/>
          <w:lang w:eastAsia="zh-CN"/>
        </w:rPr>
        <w:drawing>
          <wp:inline distT="0" distB="0" distL="114300" distR="114300">
            <wp:extent cx="5592445" cy="7999095"/>
            <wp:effectExtent l="0" t="0" r="8255" b="1905"/>
            <wp:docPr id="1"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796660264618947"/>
                    <pic:cNvPicPr>
                      <a:picLocks noChangeAspect="1"/>
                    </pic:cNvPicPr>
                  </pic:nvPicPr>
                  <pic:blipFill>
                    <a:blip r:embed="rId11"/>
                    <a:stretch>
                      <a:fillRect/>
                    </a:stretch>
                  </pic:blipFill>
                  <pic:spPr>
                    <a:xfrm>
                      <a:off x="0" y="0"/>
                      <a:ext cx="5592445" cy="79990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16"/>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515225" cy="48863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7515225" cy="4886325"/>
                    </a:xfrm>
                    <a:prstGeom prst="rect">
                      <a:avLst/>
                    </a:prstGeom>
                    <a:noFill/>
                    <a:ln>
                      <a:noFill/>
                    </a:ln>
                  </pic:spPr>
                </pic:pic>
              </a:graphicData>
            </a:graphic>
          </wp:inline>
        </w:drawing>
      </w: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pStyle w:val="4"/>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752080" cy="4828540"/>
            <wp:effectExtent l="0" t="0" r="127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7752080" cy="4828540"/>
                    </a:xfrm>
                    <a:prstGeom prst="rect">
                      <a:avLst/>
                    </a:prstGeom>
                    <a:noFill/>
                    <a:ln w="9525">
                      <a:noFill/>
                    </a:ln>
                  </pic:spPr>
                </pic:pic>
              </a:graphicData>
            </a:graphic>
          </wp:inline>
        </w:drawing>
      </w:r>
    </w:p>
    <w:p>
      <w:pPr>
        <w:rPr>
          <w:rFonts w:hint="eastAsia"/>
          <w:lang w:val="en-US" w:eastAsia="zh-CN"/>
        </w:rPr>
      </w:pPr>
      <w:r>
        <w:drawing>
          <wp:inline distT="0" distB="0" distL="114300" distR="114300">
            <wp:extent cx="5219065" cy="6657340"/>
            <wp:effectExtent l="0" t="0" r="63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19065" cy="6657340"/>
                    </a:xfrm>
                    <a:prstGeom prst="rect">
                      <a:avLst/>
                    </a:prstGeom>
                    <a:noFill/>
                    <a:ln w="9525">
                      <a:noFill/>
                    </a:ln>
                  </pic:spPr>
                </pic:pic>
              </a:graphicData>
            </a:graphic>
          </wp:inline>
        </w:drawing>
      </w:r>
    </w:p>
    <w:p>
      <w:pPr>
        <w:pStyle w:val="7"/>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30875" cy="8173085"/>
            <wp:effectExtent l="0" t="0" r="3175"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5730875" cy="8173085"/>
                    </a:xfrm>
                    <a:prstGeom prst="rect">
                      <a:avLst/>
                    </a:prstGeom>
                    <a:noFill/>
                    <a:ln>
                      <a:noFill/>
                    </a:ln>
                  </pic:spPr>
                </pic:pic>
              </a:graphicData>
            </a:graphic>
          </wp:inline>
        </w:drawing>
      </w:r>
    </w:p>
    <w:p>
      <w:pPr>
        <w:pStyle w:val="2"/>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2"/>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90895" cy="8301990"/>
            <wp:effectExtent l="0" t="0" r="14605"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tretch>
                      <a:fillRect/>
                    </a:stretch>
                  </pic:blipFill>
                  <pic:spPr>
                    <a:xfrm>
                      <a:off x="0" y="0"/>
                      <a:ext cx="5890895" cy="8301990"/>
                    </a:xfrm>
                    <a:prstGeom prst="rect">
                      <a:avLst/>
                    </a:prstGeom>
                    <a:noFill/>
                    <a:ln>
                      <a:noFill/>
                    </a:ln>
                  </pic:spPr>
                </pic:pic>
              </a:graphicData>
            </a:graphic>
          </wp:inline>
        </w:drawing>
      </w:r>
    </w:p>
    <w:p>
      <w:pPr>
        <w:pStyle w:val="2"/>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2"/>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51525" cy="8021955"/>
            <wp:effectExtent l="0" t="0" r="15875"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5851525" cy="8021955"/>
                    </a:xfrm>
                    <a:prstGeom prst="rect">
                      <a:avLst/>
                    </a:prstGeom>
                    <a:noFill/>
                    <a:ln>
                      <a:noFill/>
                    </a:ln>
                  </pic:spPr>
                </pic:pic>
              </a:graphicData>
            </a:graphic>
          </wp:inline>
        </w:drawing>
      </w:r>
    </w:p>
    <w:p>
      <w:pPr>
        <w:pStyle w:val="2"/>
        <w:jc w:val="both"/>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 xml:space="preserve">4 </w:t>
      </w:r>
      <w:r>
        <w:rPr>
          <w:rFonts w:hint="eastAsia" w:ascii="Times New Roman" w:hAnsi="Times New Roman" w:cs="Times New Roman" w:eastAsiaTheme="minorEastAsia"/>
          <w:b/>
          <w:bCs/>
          <w:color w:val="auto"/>
          <w:kern w:val="44"/>
          <w:sz w:val="30"/>
          <w:szCs w:val="30"/>
          <w:lang w:val="en-US" w:eastAsia="zh-CN" w:bidi="ar-SA"/>
        </w:rPr>
        <w:t>验收检测报告</w:t>
      </w:r>
    </w:p>
    <w:p>
      <w:pPr>
        <w:pStyle w:val="2"/>
        <w:jc w:val="center"/>
        <w:rPr>
          <w:rFonts w:hint="default" w:ascii="Times New Roman" w:hAnsi="Times New Roman" w:cs="Times New Roman" w:eastAsiaTheme="minorEastAsia"/>
          <w:b/>
          <w:bCs/>
          <w:color w:val="auto"/>
          <w:kern w:val="44"/>
          <w:sz w:val="30"/>
          <w:szCs w:val="30"/>
          <w:lang w:val="en-US" w:eastAsia="zh-CN" w:bidi="ar-SA"/>
        </w:rPr>
      </w:pPr>
      <w:r>
        <w:drawing>
          <wp:inline distT="0" distB="0" distL="114300" distR="114300">
            <wp:extent cx="5790565" cy="8176260"/>
            <wp:effectExtent l="0" t="0" r="635" b="152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790565" cy="8176260"/>
                    </a:xfrm>
                    <a:prstGeom prst="rect">
                      <a:avLst/>
                    </a:prstGeom>
                    <a:noFill/>
                    <a:ln>
                      <a:noFill/>
                    </a:ln>
                  </pic:spPr>
                </pic:pic>
              </a:graphicData>
            </a:graphic>
          </wp:inline>
        </w:drawing>
      </w:r>
      <w:r>
        <w:drawing>
          <wp:inline distT="0" distB="0" distL="114300" distR="114300">
            <wp:extent cx="6128385" cy="8584565"/>
            <wp:effectExtent l="0" t="0" r="5715"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6128385" cy="8584565"/>
                    </a:xfrm>
                    <a:prstGeom prst="rect">
                      <a:avLst/>
                    </a:prstGeom>
                    <a:noFill/>
                    <a:ln>
                      <a:noFill/>
                    </a:ln>
                  </pic:spPr>
                </pic:pic>
              </a:graphicData>
            </a:graphic>
          </wp:inline>
        </w:drawing>
      </w:r>
      <w:r>
        <w:drawing>
          <wp:inline distT="0" distB="0" distL="114300" distR="114300">
            <wp:extent cx="6158865" cy="8724900"/>
            <wp:effectExtent l="0" t="0" r="1333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6158865" cy="8724900"/>
                    </a:xfrm>
                    <a:prstGeom prst="rect">
                      <a:avLst/>
                    </a:prstGeom>
                    <a:noFill/>
                    <a:ln>
                      <a:noFill/>
                    </a:ln>
                  </pic:spPr>
                </pic:pic>
              </a:graphicData>
            </a:graphic>
          </wp:inline>
        </w:drawing>
      </w:r>
      <w:r>
        <w:drawing>
          <wp:inline distT="0" distB="0" distL="114300" distR="114300">
            <wp:extent cx="6038850" cy="8615680"/>
            <wp:effectExtent l="0" t="0" r="0" b="139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038850" cy="8615680"/>
                    </a:xfrm>
                    <a:prstGeom prst="rect">
                      <a:avLst/>
                    </a:prstGeom>
                    <a:noFill/>
                    <a:ln>
                      <a:noFill/>
                    </a:ln>
                  </pic:spPr>
                </pic:pic>
              </a:graphicData>
            </a:graphic>
          </wp:inline>
        </w:drawing>
      </w:r>
      <w:r>
        <w:drawing>
          <wp:inline distT="0" distB="0" distL="114300" distR="114300">
            <wp:extent cx="6207760" cy="8849995"/>
            <wp:effectExtent l="0" t="0" r="254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6207760" cy="8849995"/>
                    </a:xfrm>
                    <a:prstGeom prst="rect">
                      <a:avLst/>
                    </a:prstGeom>
                    <a:noFill/>
                    <a:ln>
                      <a:noFill/>
                    </a:ln>
                  </pic:spPr>
                </pic:pic>
              </a:graphicData>
            </a:graphic>
          </wp:inline>
        </w:drawing>
      </w:r>
      <w:r>
        <w:drawing>
          <wp:inline distT="0" distB="0" distL="114300" distR="114300">
            <wp:extent cx="6247765" cy="8808085"/>
            <wp:effectExtent l="0" t="0" r="635" b="1206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6247765" cy="8808085"/>
                    </a:xfrm>
                    <a:prstGeom prst="rect">
                      <a:avLst/>
                    </a:prstGeom>
                    <a:noFill/>
                    <a:ln>
                      <a:noFill/>
                    </a:ln>
                  </pic:spPr>
                </pic:pic>
              </a:graphicData>
            </a:graphic>
          </wp:inline>
        </w:drawing>
      </w:r>
      <w:r>
        <w:drawing>
          <wp:inline distT="0" distB="0" distL="114300" distR="114300">
            <wp:extent cx="6135370" cy="8630920"/>
            <wp:effectExtent l="0" t="0" r="17780" b="177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4"/>
                    <a:stretch>
                      <a:fillRect/>
                    </a:stretch>
                  </pic:blipFill>
                  <pic:spPr>
                    <a:xfrm>
                      <a:off x="0" y="0"/>
                      <a:ext cx="6135370" cy="8630920"/>
                    </a:xfrm>
                    <a:prstGeom prst="rect">
                      <a:avLst/>
                    </a:prstGeom>
                    <a:noFill/>
                    <a:ln>
                      <a:noFill/>
                    </a:ln>
                  </pic:spPr>
                </pic:pic>
              </a:graphicData>
            </a:graphic>
          </wp:inline>
        </w:drawing>
      </w:r>
      <w:r>
        <w:drawing>
          <wp:inline distT="0" distB="0" distL="114300" distR="114300">
            <wp:extent cx="6091555" cy="8643620"/>
            <wp:effectExtent l="0" t="0" r="4445" b="508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5"/>
                    <a:stretch>
                      <a:fillRect/>
                    </a:stretch>
                  </pic:blipFill>
                  <pic:spPr>
                    <a:xfrm>
                      <a:off x="0" y="0"/>
                      <a:ext cx="6091555" cy="864362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D75DB"/>
    <w:rsid w:val="00186BF0"/>
    <w:rsid w:val="00356250"/>
    <w:rsid w:val="003C11CB"/>
    <w:rsid w:val="00665BAD"/>
    <w:rsid w:val="00705104"/>
    <w:rsid w:val="00753C1F"/>
    <w:rsid w:val="009269A2"/>
    <w:rsid w:val="00A43006"/>
    <w:rsid w:val="00A46FB1"/>
    <w:rsid w:val="00B604CD"/>
    <w:rsid w:val="00B92359"/>
    <w:rsid w:val="00B92BAA"/>
    <w:rsid w:val="00C81E23"/>
    <w:rsid w:val="00E049A6"/>
    <w:rsid w:val="01260E98"/>
    <w:rsid w:val="01320D0D"/>
    <w:rsid w:val="01400C4A"/>
    <w:rsid w:val="015058A7"/>
    <w:rsid w:val="01650568"/>
    <w:rsid w:val="017E63B3"/>
    <w:rsid w:val="018A7679"/>
    <w:rsid w:val="019458FC"/>
    <w:rsid w:val="01C16C2C"/>
    <w:rsid w:val="01D07FD8"/>
    <w:rsid w:val="01D54ECF"/>
    <w:rsid w:val="01E6100D"/>
    <w:rsid w:val="022928A2"/>
    <w:rsid w:val="025657AD"/>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D45F7"/>
    <w:rsid w:val="02CB0DDA"/>
    <w:rsid w:val="02D52B76"/>
    <w:rsid w:val="03004A2D"/>
    <w:rsid w:val="03022972"/>
    <w:rsid w:val="030651FE"/>
    <w:rsid w:val="030F7DEA"/>
    <w:rsid w:val="031614DD"/>
    <w:rsid w:val="0323236C"/>
    <w:rsid w:val="0335629C"/>
    <w:rsid w:val="036A3FA2"/>
    <w:rsid w:val="03705062"/>
    <w:rsid w:val="03721F68"/>
    <w:rsid w:val="03A05300"/>
    <w:rsid w:val="03CC64F1"/>
    <w:rsid w:val="03D34C17"/>
    <w:rsid w:val="03D354A3"/>
    <w:rsid w:val="03EB2BDE"/>
    <w:rsid w:val="03FA20DB"/>
    <w:rsid w:val="03FF396C"/>
    <w:rsid w:val="04130F5E"/>
    <w:rsid w:val="041B51EA"/>
    <w:rsid w:val="04260F9E"/>
    <w:rsid w:val="04775247"/>
    <w:rsid w:val="047913C1"/>
    <w:rsid w:val="04BA64C7"/>
    <w:rsid w:val="04C527B1"/>
    <w:rsid w:val="04E17B70"/>
    <w:rsid w:val="04EC4003"/>
    <w:rsid w:val="04FD23E8"/>
    <w:rsid w:val="05107125"/>
    <w:rsid w:val="05117F2B"/>
    <w:rsid w:val="051E7DB2"/>
    <w:rsid w:val="051F6F34"/>
    <w:rsid w:val="052009A9"/>
    <w:rsid w:val="053C7961"/>
    <w:rsid w:val="05486A0C"/>
    <w:rsid w:val="056A6C7A"/>
    <w:rsid w:val="05740424"/>
    <w:rsid w:val="057874B3"/>
    <w:rsid w:val="058B2441"/>
    <w:rsid w:val="059917F3"/>
    <w:rsid w:val="05AD3936"/>
    <w:rsid w:val="05D31443"/>
    <w:rsid w:val="05D46790"/>
    <w:rsid w:val="05D47115"/>
    <w:rsid w:val="05DA4C42"/>
    <w:rsid w:val="05DD3341"/>
    <w:rsid w:val="05E7509A"/>
    <w:rsid w:val="05EB6551"/>
    <w:rsid w:val="061053DF"/>
    <w:rsid w:val="06265752"/>
    <w:rsid w:val="062B162F"/>
    <w:rsid w:val="064E0C6B"/>
    <w:rsid w:val="066265E2"/>
    <w:rsid w:val="06782196"/>
    <w:rsid w:val="067A38E7"/>
    <w:rsid w:val="067A717A"/>
    <w:rsid w:val="068834BD"/>
    <w:rsid w:val="069C71B7"/>
    <w:rsid w:val="06B036DE"/>
    <w:rsid w:val="06B238FA"/>
    <w:rsid w:val="06B84730"/>
    <w:rsid w:val="06C81892"/>
    <w:rsid w:val="06DA0629"/>
    <w:rsid w:val="06FA0F5D"/>
    <w:rsid w:val="071D2E61"/>
    <w:rsid w:val="07292F15"/>
    <w:rsid w:val="0739666A"/>
    <w:rsid w:val="074A23CE"/>
    <w:rsid w:val="074B2440"/>
    <w:rsid w:val="07533B82"/>
    <w:rsid w:val="07601E09"/>
    <w:rsid w:val="07626812"/>
    <w:rsid w:val="076F17EB"/>
    <w:rsid w:val="078A7459"/>
    <w:rsid w:val="07B76250"/>
    <w:rsid w:val="07BF120C"/>
    <w:rsid w:val="07C82CA9"/>
    <w:rsid w:val="07D15676"/>
    <w:rsid w:val="07D93372"/>
    <w:rsid w:val="07D94EB6"/>
    <w:rsid w:val="07F81AAA"/>
    <w:rsid w:val="08054353"/>
    <w:rsid w:val="085224A3"/>
    <w:rsid w:val="08730E67"/>
    <w:rsid w:val="087370B9"/>
    <w:rsid w:val="08755683"/>
    <w:rsid w:val="087F3CE9"/>
    <w:rsid w:val="08B976DE"/>
    <w:rsid w:val="08D13667"/>
    <w:rsid w:val="08D54A57"/>
    <w:rsid w:val="08E62D28"/>
    <w:rsid w:val="08EC3DDD"/>
    <w:rsid w:val="08FA1588"/>
    <w:rsid w:val="08FF5B7A"/>
    <w:rsid w:val="093911AF"/>
    <w:rsid w:val="095B3E16"/>
    <w:rsid w:val="096A3EEA"/>
    <w:rsid w:val="098004AE"/>
    <w:rsid w:val="098E6A6B"/>
    <w:rsid w:val="099B40A7"/>
    <w:rsid w:val="09AB1B94"/>
    <w:rsid w:val="09B478C0"/>
    <w:rsid w:val="09CA1445"/>
    <w:rsid w:val="09D66028"/>
    <w:rsid w:val="09D705CF"/>
    <w:rsid w:val="09E24556"/>
    <w:rsid w:val="09E65669"/>
    <w:rsid w:val="09E7514C"/>
    <w:rsid w:val="09EA59EB"/>
    <w:rsid w:val="0A01246E"/>
    <w:rsid w:val="0A074223"/>
    <w:rsid w:val="0A0A6F8A"/>
    <w:rsid w:val="0A0F6089"/>
    <w:rsid w:val="0A1641A0"/>
    <w:rsid w:val="0A486323"/>
    <w:rsid w:val="0A7A4830"/>
    <w:rsid w:val="0A7E69B5"/>
    <w:rsid w:val="0A976649"/>
    <w:rsid w:val="0AC41E4E"/>
    <w:rsid w:val="0ACC11D3"/>
    <w:rsid w:val="0AD53B4D"/>
    <w:rsid w:val="0AD55E09"/>
    <w:rsid w:val="0B1960B9"/>
    <w:rsid w:val="0B297898"/>
    <w:rsid w:val="0B31588C"/>
    <w:rsid w:val="0B442ECB"/>
    <w:rsid w:val="0B740CB4"/>
    <w:rsid w:val="0B8A6610"/>
    <w:rsid w:val="0B8B2FC0"/>
    <w:rsid w:val="0B8E1833"/>
    <w:rsid w:val="0B9A49D2"/>
    <w:rsid w:val="0BA05685"/>
    <w:rsid w:val="0BA6652C"/>
    <w:rsid w:val="0BD17EE0"/>
    <w:rsid w:val="0BF73B5D"/>
    <w:rsid w:val="0BFD2E61"/>
    <w:rsid w:val="0C00431D"/>
    <w:rsid w:val="0C0145B8"/>
    <w:rsid w:val="0C031032"/>
    <w:rsid w:val="0C135122"/>
    <w:rsid w:val="0C163E2F"/>
    <w:rsid w:val="0C170994"/>
    <w:rsid w:val="0C1C1816"/>
    <w:rsid w:val="0C25691C"/>
    <w:rsid w:val="0C29234F"/>
    <w:rsid w:val="0C2C3201"/>
    <w:rsid w:val="0C3404EB"/>
    <w:rsid w:val="0C483C34"/>
    <w:rsid w:val="0C4B79FF"/>
    <w:rsid w:val="0C5A2708"/>
    <w:rsid w:val="0C680125"/>
    <w:rsid w:val="0C6B2558"/>
    <w:rsid w:val="0C6B4D57"/>
    <w:rsid w:val="0C6F5686"/>
    <w:rsid w:val="0C870A1A"/>
    <w:rsid w:val="0CA0388E"/>
    <w:rsid w:val="0CB30325"/>
    <w:rsid w:val="0CCC6D98"/>
    <w:rsid w:val="0CDD66B7"/>
    <w:rsid w:val="0CFA776B"/>
    <w:rsid w:val="0D1132E9"/>
    <w:rsid w:val="0D243D96"/>
    <w:rsid w:val="0D321420"/>
    <w:rsid w:val="0D3A1302"/>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23194"/>
    <w:rsid w:val="0DF539EE"/>
    <w:rsid w:val="0DF742E8"/>
    <w:rsid w:val="0E2D2DB4"/>
    <w:rsid w:val="0E3D295E"/>
    <w:rsid w:val="0E4868F2"/>
    <w:rsid w:val="0E4D6A03"/>
    <w:rsid w:val="0E501BC4"/>
    <w:rsid w:val="0E551706"/>
    <w:rsid w:val="0E5F06F5"/>
    <w:rsid w:val="0E6B438E"/>
    <w:rsid w:val="0E6E3866"/>
    <w:rsid w:val="0E8835C8"/>
    <w:rsid w:val="0E8F4A99"/>
    <w:rsid w:val="0EBC4BEA"/>
    <w:rsid w:val="0ED0219A"/>
    <w:rsid w:val="0ED63CEB"/>
    <w:rsid w:val="0F1D59AD"/>
    <w:rsid w:val="0F334D8F"/>
    <w:rsid w:val="0F4D2803"/>
    <w:rsid w:val="0F4F25B7"/>
    <w:rsid w:val="0F916077"/>
    <w:rsid w:val="0F91724E"/>
    <w:rsid w:val="0F957915"/>
    <w:rsid w:val="0FA51A1F"/>
    <w:rsid w:val="0FB26719"/>
    <w:rsid w:val="0FB75D90"/>
    <w:rsid w:val="0FCC5687"/>
    <w:rsid w:val="0FD21598"/>
    <w:rsid w:val="0FE13FF9"/>
    <w:rsid w:val="0FE71968"/>
    <w:rsid w:val="0FEF171B"/>
    <w:rsid w:val="0FFF2361"/>
    <w:rsid w:val="103B3222"/>
    <w:rsid w:val="10471EAC"/>
    <w:rsid w:val="10707820"/>
    <w:rsid w:val="107A3BDD"/>
    <w:rsid w:val="109127D2"/>
    <w:rsid w:val="109202C7"/>
    <w:rsid w:val="10B5164E"/>
    <w:rsid w:val="10B657AF"/>
    <w:rsid w:val="10BE7517"/>
    <w:rsid w:val="10EC17B7"/>
    <w:rsid w:val="11254CC9"/>
    <w:rsid w:val="113D2012"/>
    <w:rsid w:val="114C46F3"/>
    <w:rsid w:val="115D3859"/>
    <w:rsid w:val="116369AF"/>
    <w:rsid w:val="11864F4F"/>
    <w:rsid w:val="119755B5"/>
    <w:rsid w:val="11A700D3"/>
    <w:rsid w:val="11AA3420"/>
    <w:rsid w:val="11AA4C45"/>
    <w:rsid w:val="11B81FE1"/>
    <w:rsid w:val="11BA4C1A"/>
    <w:rsid w:val="11C77C3A"/>
    <w:rsid w:val="11DC5CCF"/>
    <w:rsid w:val="11E0751A"/>
    <w:rsid w:val="12063447"/>
    <w:rsid w:val="120C43CB"/>
    <w:rsid w:val="121F3E0E"/>
    <w:rsid w:val="12342867"/>
    <w:rsid w:val="125E02D2"/>
    <w:rsid w:val="12916D88"/>
    <w:rsid w:val="12922832"/>
    <w:rsid w:val="1295124C"/>
    <w:rsid w:val="12961F0E"/>
    <w:rsid w:val="12982F30"/>
    <w:rsid w:val="12AA7B7B"/>
    <w:rsid w:val="12B72298"/>
    <w:rsid w:val="12BC78AF"/>
    <w:rsid w:val="12D44BF8"/>
    <w:rsid w:val="12D65128"/>
    <w:rsid w:val="12EB3CF0"/>
    <w:rsid w:val="12F048B5"/>
    <w:rsid w:val="12F54B98"/>
    <w:rsid w:val="12FC2D17"/>
    <w:rsid w:val="13023E41"/>
    <w:rsid w:val="131D1A1B"/>
    <w:rsid w:val="132C799A"/>
    <w:rsid w:val="13384A4A"/>
    <w:rsid w:val="133B797C"/>
    <w:rsid w:val="1340403C"/>
    <w:rsid w:val="135B6DDB"/>
    <w:rsid w:val="13763F01"/>
    <w:rsid w:val="13860AF9"/>
    <w:rsid w:val="13875453"/>
    <w:rsid w:val="139A61D2"/>
    <w:rsid w:val="13D715A5"/>
    <w:rsid w:val="13ED3B88"/>
    <w:rsid w:val="13F81F53"/>
    <w:rsid w:val="14006EA6"/>
    <w:rsid w:val="140E2A8A"/>
    <w:rsid w:val="141E76BA"/>
    <w:rsid w:val="14332BE3"/>
    <w:rsid w:val="14414BA5"/>
    <w:rsid w:val="14482A57"/>
    <w:rsid w:val="14575036"/>
    <w:rsid w:val="145A6BFB"/>
    <w:rsid w:val="14681327"/>
    <w:rsid w:val="147A08A0"/>
    <w:rsid w:val="1499392C"/>
    <w:rsid w:val="149C6447"/>
    <w:rsid w:val="14B0449D"/>
    <w:rsid w:val="14BF5434"/>
    <w:rsid w:val="14C0161F"/>
    <w:rsid w:val="14D464B1"/>
    <w:rsid w:val="14E07535"/>
    <w:rsid w:val="14EB47A4"/>
    <w:rsid w:val="14FB28A9"/>
    <w:rsid w:val="15010839"/>
    <w:rsid w:val="150E24B2"/>
    <w:rsid w:val="151E63B5"/>
    <w:rsid w:val="152A5EB6"/>
    <w:rsid w:val="15475B55"/>
    <w:rsid w:val="154F39A7"/>
    <w:rsid w:val="1555441B"/>
    <w:rsid w:val="155B515D"/>
    <w:rsid w:val="155D7D97"/>
    <w:rsid w:val="15692637"/>
    <w:rsid w:val="158B322B"/>
    <w:rsid w:val="15BD40AF"/>
    <w:rsid w:val="15DE18EA"/>
    <w:rsid w:val="15F3745A"/>
    <w:rsid w:val="15FA6724"/>
    <w:rsid w:val="1609105D"/>
    <w:rsid w:val="16261794"/>
    <w:rsid w:val="162912E3"/>
    <w:rsid w:val="16573C58"/>
    <w:rsid w:val="165B7A80"/>
    <w:rsid w:val="165C73DE"/>
    <w:rsid w:val="16673E9F"/>
    <w:rsid w:val="16845A6A"/>
    <w:rsid w:val="16907088"/>
    <w:rsid w:val="16B630CB"/>
    <w:rsid w:val="16BA5943"/>
    <w:rsid w:val="16D06A17"/>
    <w:rsid w:val="16E00024"/>
    <w:rsid w:val="16E11AC0"/>
    <w:rsid w:val="16EC3324"/>
    <w:rsid w:val="16F0644A"/>
    <w:rsid w:val="17057E6B"/>
    <w:rsid w:val="171F32E7"/>
    <w:rsid w:val="172E1B66"/>
    <w:rsid w:val="172E6FA3"/>
    <w:rsid w:val="17326502"/>
    <w:rsid w:val="173F31BB"/>
    <w:rsid w:val="17521694"/>
    <w:rsid w:val="17752631"/>
    <w:rsid w:val="17921886"/>
    <w:rsid w:val="17947E66"/>
    <w:rsid w:val="179D2269"/>
    <w:rsid w:val="17AE40A0"/>
    <w:rsid w:val="17AF1881"/>
    <w:rsid w:val="17B1375A"/>
    <w:rsid w:val="18112A52"/>
    <w:rsid w:val="18160155"/>
    <w:rsid w:val="18222D5D"/>
    <w:rsid w:val="18424E0A"/>
    <w:rsid w:val="188B3FAB"/>
    <w:rsid w:val="18A137CE"/>
    <w:rsid w:val="18A2565D"/>
    <w:rsid w:val="18C35823"/>
    <w:rsid w:val="18D82DB7"/>
    <w:rsid w:val="18DE13E4"/>
    <w:rsid w:val="1902441F"/>
    <w:rsid w:val="19255993"/>
    <w:rsid w:val="192B7810"/>
    <w:rsid w:val="194A79C2"/>
    <w:rsid w:val="195C5DF6"/>
    <w:rsid w:val="1966641E"/>
    <w:rsid w:val="196975F0"/>
    <w:rsid w:val="19721EAB"/>
    <w:rsid w:val="197832BB"/>
    <w:rsid w:val="198625A9"/>
    <w:rsid w:val="19991A84"/>
    <w:rsid w:val="19FE41A5"/>
    <w:rsid w:val="19FF59D9"/>
    <w:rsid w:val="1A1A3838"/>
    <w:rsid w:val="1A27476F"/>
    <w:rsid w:val="1A29696B"/>
    <w:rsid w:val="1A334655"/>
    <w:rsid w:val="1A395FBE"/>
    <w:rsid w:val="1A420550"/>
    <w:rsid w:val="1A46462D"/>
    <w:rsid w:val="1A4E703E"/>
    <w:rsid w:val="1A5102D0"/>
    <w:rsid w:val="1A580E57"/>
    <w:rsid w:val="1A691D3B"/>
    <w:rsid w:val="1A75281D"/>
    <w:rsid w:val="1A9F1C68"/>
    <w:rsid w:val="1AAC7AD1"/>
    <w:rsid w:val="1AD82DAC"/>
    <w:rsid w:val="1ADD6614"/>
    <w:rsid w:val="1AE43D03"/>
    <w:rsid w:val="1AE73258"/>
    <w:rsid w:val="1B3A3A66"/>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00181"/>
    <w:rsid w:val="1C445043"/>
    <w:rsid w:val="1C5D0453"/>
    <w:rsid w:val="1C5F78F0"/>
    <w:rsid w:val="1C686368"/>
    <w:rsid w:val="1C7C2C7F"/>
    <w:rsid w:val="1C890801"/>
    <w:rsid w:val="1C984856"/>
    <w:rsid w:val="1CB670DF"/>
    <w:rsid w:val="1CBB31A7"/>
    <w:rsid w:val="1CF404C8"/>
    <w:rsid w:val="1CFC0128"/>
    <w:rsid w:val="1D206525"/>
    <w:rsid w:val="1D2B18A6"/>
    <w:rsid w:val="1D37025D"/>
    <w:rsid w:val="1D382954"/>
    <w:rsid w:val="1D62374A"/>
    <w:rsid w:val="1D7768AC"/>
    <w:rsid w:val="1D7E40DE"/>
    <w:rsid w:val="1D9D796C"/>
    <w:rsid w:val="1DA3702D"/>
    <w:rsid w:val="1DB87F26"/>
    <w:rsid w:val="1DC43032"/>
    <w:rsid w:val="1DC75107"/>
    <w:rsid w:val="1DCF0496"/>
    <w:rsid w:val="1DE75F4B"/>
    <w:rsid w:val="1DED3182"/>
    <w:rsid w:val="1DFC41C4"/>
    <w:rsid w:val="1DFD1F9B"/>
    <w:rsid w:val="1E03131E"/>
    <w:rsid w:val="1E1E766F"/>
    <w:rsid w:val="1E1F7EEC"/>
    <w:rsid w:val="1E2270F0"/>
    <w:rsid w:val="1E3D0E98"/>
    <w:rsid w:val="1E4522E8"/>
    <w:rsid w:val="1E504393"/>
    <w:rsid w:val="1E5071A5"/>
    <w:rsid w:val="1EA638ED"/>
    <w:rsid w:val="1EAA758E"/>
    <w:rsid w:val="1EBB4293"/>
    <w:rsid w:val="1EC65731"/>
    <w:rsid w:val="1ECD32A4"/>
    <w:rsid w:val="1F1C00A9"/>
    <w:rsid w:val="1F23503F"/>
    <w:rsid w:val="1F294332"/>
    <w:rsid w:val="1F2A5F36"/>
    <w:rsid w:val="1F2F44F0"/>
    <w:rsid w:val="1F3507CD"/>
    <w:rsid w:val="1F530D3A"/>
    <w:rsid w:val="1F5E012B"/>
    <w:rsid w:val="1F8E0312"/>
    <w:rsid w:val="1F93030E"/>
    <w:rsid w:val="1F9F1CA0"/>
    <w:rsid w:val="1FBD5DD7"/>
    <w:rsid w:val="1FD01001"/>
    <w:rsid w:val="1FD96803"/>
    <w:rsid w:val="1FF5799B"/>
    <w:rsid w:val="200C185A"/>
    <w:rsid w:val="200E7555"/>
    <w:rsid w:val="201C3E3A"/>
    <w:rsid w:val="202F3999"/>
    <w:rsid w:val="20370574"/>
    <w:rsid w:val="204D7D98"/>
    <w:rsid w:val="207B759F"/>
    <w:rsid w:val="20895AA2"/>
    <w:rsid w:val="20970344"/>
    <w:rsid w:val="209D5060"/>
    <w:rsid w:val="20A47F19"/>
    <w:rsid w:val="20BE4604"/>
    <w:rsid w:val="20BF1915"/>
    <w:rsid w:val="20D307A1"/>
    <w:rsid w:val="20D379AA"/>
    <w:rsid w:val="20E06E5E"/>
    <w:rsid w:val="20E51A10"/>
    <w:rsid w:val="20EB2E11"/>
    <w:rsid w:val="21130D7D"/>
    <w:rsid w:val="21130FE1"/>
    <w:rsid w:val="2125401F"/>
    <w:rsid w:val="212C6029"/>
    <w:rsid w:val="21311DFD"/>
    <w:rsid w:val="21541DEF"/>
    <w:rsid w:val="21645329"/>
    <w:rsid w:val="21741D06"/>
    <w:rsid w:val="21A0740D"/>
    <w:rsid w:val="21A24B1D"/>
    <w:rsid w:val="21CE6B4C"/>
    <w:rsid w:val="21D23AB1"/>
    <w:rsid w:val="21D249F9"/>
    <w:rsid w:val="21D26EA7"/>
    <w:rsid w:val="21D27DD5"/>
    <w:rsid w:val="21DE626B"/>
    <w:rsid w:val="21E06B2C"/>
    <w:rsid w:val="21E36C06"/>
    <w:rsid w:val="21E43094"/>
    <w:rsid w:val="22121299"/>
    <w:rsid w:val="2215771F"/>
    <w:rsid w:val="222A326B"/>
    <w:rsid w:val="222C1D58"/>
    <w:rsid w:val="22401962"/>
    <w:rsid w:val="2245341D"/>
    <w:rsid w:val="224D70E7"/>
    <w:rsid w:val="225821CD"/>
    <w:rsid w:val="226A0BEC"/>
    <w:rsid w:val="22717857"/>
    <w:rsid w:val="228F2A6B"/>
    <w:rsid w:val="229D6DA2"/>
    <w:rsid w:val="22A146F2"/>
    <w:rsid w:val="22C30D9A"/>
    <w:rsid w:val="22DB6593"/>
    <w:rsid w:val="22E06CA1"/>
    <w:rsid w:val="22E2680E"/>
    <w:rsid w:val="230079B7"/>
    <w:rsid w:val="231132FF"/>
    <w:rsid w:val="23137077"/>
    <w:rsid w:val="234052AD"/>
    <w:rsid w:val="234E00AF"/>
    <w:rsid w:val="236A4649"/>
    <w:rsid w:val="23792F65"/>
    <w:rsid w:val="23D20CE0"/>
    <w:rsid w:val="24053A6E"/>
    <w:rsid w:val="24083192"/>
    <w:rsid w:val="240B2444"/>
    <w:rsid w:val="24145AAC"/>
    <w:rsid w:val="24155071"/>
    <w:rsid w:val="241F66D6"/>
    <w:rsid w:val="243A5D93"/>
    <w:rsid w:val="243E6375"/>
    <w:rsid w:val="245F7D01"/>
    <w:rsid w:val="247179A7"/>
    <w:rsid w:val="2483022C"/>
    <w:rsid w:val="24AC7783"/>
    <w:rsid w:val="24B31C9A"/>
    <w:rsid w:val="24B45395"/>
    <w:rsid w:val="250255F5"/>
    <w:rsid w:val="250824DF"/>
    <w:rsid w:val="250A2D61"/>
    <w:rsid w:val="251C53CB"/>
    <w:rsid w:val="252227D8"/>
    <w:rsid w:val="25257535"/>
    <w:rsid w:val="2544142D"/>
    <w:rsid w:val="255816B9"/>
    <w:rsid w:val="255C655B"/>
    <w:rsid w:val="2561056D"/>
    <w:rsid w:val="25784B2E"/>
    <w:rsid w:val="257E64F7"/>
    <w:rsid w:val="259B44F8"/>
    <w:rsid w:val="25A8302D"/>
    <w:rsid w:val="25AB2CCB"/>
    <w:rsid w:val="25C1100C"/>
    <w:rsid w:val="25C841C8"/>
    <w:rsid w:val="25FA5A90"/>
    <w:rsid w:val="25FA62CC"/>
    <w:rsid w:val="26123616"/>
    <w:rsid w:val="26163F80"/>
    <w:rsid w:val="261C26E6"/>
    <w:rsid w:val="261E52E3"/>
    <w:rsid w:val="262212E9"/>
    <w:rsid w:val="26241FF4"/>
    <w:rsid w:val="26325A66"/>
    <w:rsid w:val="26342D4C"/>
    <w:rsid w:val="265C6FB2"/>
    <w:rsid w:val="266B1DDA"/>
    <w:rsid w:val="267C0A39"/>
    <w:rsid w:val="26B26BA7"/>
    <w:rsid w:val="26B45E5C"/>
    <w:rsid w:val="26C64400"/>
    <w:rsid w:val="26D1527F"/>
    <w:rsid w:val="26D27249"/>
    <w:rsid w:val="26D60FBC"/>
    <w:rsid w:val="26E31456"/>
    <w:rsid w:val="270F48B4"/>
    <w:rsid w:val="27182EAE"/>
    <w:rsid w:val="271B4EC1"/>
    <w:rsid w:val="27230743"/>
    <w:rsid w:val="2726516C"/>
    <w:rsid w:val="273812F8"/>
    <w:rsid w:val="274962F7"/>
    <w:rsid w:val="274A1860"/>
    <w:rsid w:val="275734B6"/>
    <w:rsid w:val="27741B53"/>
    <w:rsid w:val="277450D6"/>
    <w:rsid w:val="277734B7"/>
    <w:rsid w:val="277D5012"/>
    <w:rsid w:val="27817719"/>
    <w:rsid w:val="2783435E"/>
    <w:rsid w:val="27B00B17"/>
    <w:rsid w:val="27B12732"/>
    <w:rsid w:val="280746CD"/>
    <w:rsid w:val="28105227"/>
    <w:rsid w:val="28376E64"/>
    <w:rsid w:val="285479CD"/>
    <w:rsid w:val="285857A7"/>
    <w:rsid w:val="28650375"/>
    <w:rsid w:val="28723AB4"/>
    <w:rsid w:val="28907385"/>
    <w:rsid w:val="28945A4B"/>
    <w:rsid w:val="289573E9"/>
    <w:rsid w:val="28A77D79"/>
    <w:rsid w:val="28A82CA7"/>
    <w:rsid w:val="28DD1DED"/>
    <w:rsid w:val="28F12740"/>
    <w:rsid w:val="29177195"/>
    <w:rsid w:val="291E1EF7"/>
    <w:rsid w:val="29233D8C"/>
    <w:rsid w:val="29276C0F"/>
    <w:rsid w:val="2940049A"/>
    <w:rsid w:val="29561485"/>
    <w:rsid w:val="296D0128"/>
    <w:rsid w:val="296D5007"/>
    <w:rsid w:val="296E4F42"/>
    <w:rsid w:val="29746395"/>
    <w:rsid w:val="297A3EDD"/>
    <w:rsid w:val="29AA70BF"/>
    <w:rsid w:val="29C462AA"/>
    <w:rsid w:val="29C64ABB"/>
    <w:rsid w:val="29E54815"/>
    <w:rsid w:val="2A001ECC"/>
    <w:rsid w:val="2A0B4F4C"/>
    <w:rsid w:val="2A111E36"/>
    <w:rsid w:val="2A14038D"/>
    <w:rsid w:val="2A197E92"/>
    <w:rsid w:val="2A24600D"/>
    <w:rsid w:val="2A360F84"/>
    <w:rsid w:val="2A36189D"/>
    <w:rsid w:val="2A3B16C9"/>
    <w:rsid w:val="2A3C627B"/>
    <w:rsid w:val="2A4117B7"/>
    <w:rsid w:val="2A463335"/>
    <w:rsid w:val="2A4B17EC"/>
    <w:rsid w:val="2A4E39FF"/>
    <w:rsid w:val="2A4F3BBF"/>
    <w:rsid w:val="2A592168"/>
    <w:rsid w:val="2A5D1E46"/>
    <w:rsid w:val="2A634893"/>
    <w:rsid w:val="2A791292"/>
    <w:rsid w:val="2A9F38E6"/>
    <w:rsid w:val="2AB32EED"/>
    <w:rsid w:val="2AC770AF"/>
    <w:rsid w:val="2ADE3668"/>
    <w:rsid w:val="2AE44C98"/>
    <w:rsid w:val="2B033456"/>
    <w:rsid w:val="2B035C23"/>
    <w:rsid w:val="2B0A0D5F"/>
    <w:rsid w:val="2B147BF3"/>
    <w:rsid w:val="2B1778FA"/>
    <w:rsid w:val="2B2100D0"/>
    <w:rsid w:val="2B26299E"/>
    <w:rsid w:val="2B4B71CC"/>
    <w:rsid w:val="2B5D79E0"/>
    <w:rsid w:val="2B747640"/>
    <w:rsid w:val="2B85581B"/>
    <w:rsid w:val="2B9F4EB9"/>
    <w:rsid w:val="2BA2543C"/>
    <w:rsid w:val="2BA70B16"/>
    <w:rsid w:val="2BB720E5"/>
    <w:rsid w:val="2BB771B1"/>
    <w:rsid w:val="2BB807BB"/>
    <w:rsid w:val="2BBA1425"/>
    <w:rsid w:val="2BD64E19"/>
    <w:rsid w:val="2BD73ADB"/>
    <w:rsid w:val="2BD75238"/>
    <w:rsid w:val="2BF77448"/>
    <w:rsid w:val="2BFE5184"/>
    <w:rsid w:val="2C005DCA"/>
    <w:rsid w:val="2C0D0A34"/>
    <w:rsid w:val="2C3A5255"/>
    <w:rsid w:val="2C54208A"/>
    <w:rsid w:val="2C604FDA"/>
    <w:rsid w:val="2C7B2A34"/>
    <w:rsid w:val="2C7E2C1C"/>
    <w:rsid w:val="2C8E15B2"/>
    <w:rsid w:val="2C8F2065"/>
    <w:rsid w:val="2C9A6113"/>
    <w:rsid w:val="2CAA6CDE"/>
    <w:rsid w:val="2CAB6572"/>
    <w:rsid w:val="2CB3174D"/>
    <w:rsid w:val="2CBF577C"/>
    <w:rsid w:val="2CC30D5B"/>
    <w:rsid w:val="2CCB09C2"/>
    <w:rsid w:val="2D003462"/>
    <w:rsid w:val="2D0A522F"/>
    <w:rsid w:val="2D0D533B"/>
    <w:rsid w:val="2D1C7470"/>
    <w:rsid w:val="2D2F01DE"/>
    <w:rsid w:val="2D462BD9"/>
    <w:rsid w:val="2D5A0767"/>
    <w:rsid w:val="2D6F134E"/>
    <w:rsid w:val="2D7E0BA8"/>
    <w:rsid w:val="2D897679"/>
    <w:rsid w:val="2D8A22F6"/>
    <w:rsid w:val="2D8F35A3"/>
    <w:rsid w:val="2D9708A4"/>
    <w:rsid w:val="2DB317B9"/>
    <w:rsid w:val="2DC77FA9"/>
    <w:rsid w:val="2DCD3575"/>
    <w:rsid w:val="2DD11B59"/>
    <w:rsid w:val="2DE1756A"/>
    <w:rsid w:val="2DE441C9"/>
    <w:rsid w:val="2DE8295C"/>
    <w:rsid w:val="2DEF248E"/>
    <w:rsid w:val="2E293BF2"/>
    <w:rsid w:val="2E516CA5"/>
    <w:rsid w:val="2E5549E7"/>
    <w:rsid w:val="2E683000"/>
    <w:rsid w:val="2E683DD6"/>
    <w:rsid w:val="2E726884"/>
    <w:rsid w:val="2E9168D0"/>
    <w:rsid w:val="2E9934E3"/>
    <w:rsid w:val="2E9D638E"/>
    <w:rsid w:val="2EA8720D"/>
    <w:rsid w:val="2EE10029"/>
    <w:rsid w:val="2EEC1C48"/>
    <w:rsid w:val="2EF15E0D"/>
    <w:rsid w:val="2F234777"/>
    <w:rsid w:val="2F237FA6"/>
    <w:rsid w:val="2F2D5DE2"/>
    <w:rsid w:val="2F324D29"/>
    <w:rsid w:val="2F441A54"/>
    <w:rsid w:val="2F6168C6"/>
    <w:rsid w:val="2F6A2714"/>
    <w:rsid w:val="2F912229"/>
    <w:rsid w:val="2F9303FB"/>
    <w:rsid w:val="2F93612B"/>
    <w:rsid w:val="2F9904EA"/>
    <w:rsid w:val="2FC5115F"/>
    <w:rsid w:val="2FC8743B"/>
    <w:rsid w:val="2FCF2080"/>
    <w:rsid w:val="2FD1009E"/>
    <w:rsid w:val="2FDB138B"/>
    <w:rsid w:val="300C557A"/>
    <w:rsid w:val="301B57BD"/>
    <w:rsid w:val="303D5733"/>
    <w:rsid w:val="305C7245"/>
    <w:rsid w:val="30A40FEC"/>
    <w:rsid w:val="30A9361D"/>
    <w:rsid w:val="30B654E5"/>
    <w:rsid w:val="30C26694"/>
    <w:rsid w:val="30D057F2"/>
    <w:rsid w:val="30DC77C4"/>
    <w:rsid w:val="30E21733"/>
    <w:rsid w:val="30F77FD8"/>
    <w:rsid w:val="31134D4C"/>
    <w:rsid w:val="311741D6"/>
    <w:rsid w:val="31184882"/>
    <w:rsid w:val="312608BD"/>
    <w:rsid w:val="31501496"/>
    <w:rsid w:val="317550ED"/>
    <w:rsid w:val="3179279B"/>
    <w:rsid w:val="31A43590"/>
    <w:rsid w:val="31D45EB7"/>
    <w:rsid w:val="31DF1A56"/>
    <w:rsid w:val="32045C51"/>
    <w:rsid w:val="322830C2"/>
    <w:rsid w:val="32386105"/>
    <w:rsid w:val="323D5B25"/>
    <w:rsid w:val="32456B21"/>
    <w:rsid w:val="326128BE"/>
    <w:rsid w:val="32774045"/>
    <w:rsid w:val="32A04590"/>
    <w:rsid w:val="32B05E5A"/>
    <w:rsid w:val="32E23024"/>
    <w:rsid w:val="32E3455F"/>
    <w:rsid w:val="333548B5"/>
    <w:rsid w:val="33433E12"/>
    <w:rsid w:val="33531A91"/>
    <w:rsid w:val="33627935"/>
    <w:rsid w:val="33660511"/>
    <w:rsid w:val="3370146E"/>
    <w:rsid w:val="33870D36"/>
    <w:rsid w:val="33CC574C"/>
    <w:rsid w:val="33EA060C"/>
    <w:rsid w:val="341449FD"/>
    <w:rsid w:val="342B60E5"/>
    <w:rsid w:val="34323A47"/>
    <w:rsid w:val="344057F2"/>
    <w:rsid w:val="34462C29"/>
    <w:rsid w:val="345B62F7"/>
    <w:rsid w:val="34611F6C"/>
    <w:rsid w:val="346639DA"/>
    <w:rsid w:val="346F51BC"/>
    <w:rsid w:val="347C23F8"/>
    <w:rsid w:val="34844F48"/>
    <w:rsid w:val="34864FE8"/>
    <w:rsid w:val="3488219A"/>
    <w:rsid w:val="34F92AFA"/>
    <w:rsid w:val="351C625F"/>
    <w:rsid w:val="352944D8"/>
    <w:rsid w:val="35466E38"/>
    <w:rsid w:val="35475172"/>
    <w:rsid w:val="355D4AD0"/>
    <w:rsid w:val="35642417"/>
    <w:rsid w:val="356E3DC6"/>
    <w:rsid w:val="35A74869"/>
    <w:rsid w:val="35AA386B"/>
    <w:rsid w:val="35BC359E"/>
    <w:rsid w:val="35CC1814"/>
    <w:rsid w:val="35CD52FF"/>
    <w:rsid w:val="35E94E50"/>
    <w:rsid w:val="36010573"/>
    <w:rsid w:val="36205FC2"/>
    <w:rsid w:val="36226CDD"/>
    <w:rsid w:val="36532606"/>
    <w:rsid w:val="36662444"/>
    <w:rsid w:val="36681030"/>
    <w:rsid w:val="36735F09"/>
    <w:rsid w:val="368C11C2"/>
    <w:rsid w:val="36954DF9"/>
    <w:rsid w:val="36A007CA"/>
    <w:rsid w:val="36A26B39"/>
    <w:rsid w:val="36B87A4C"/>
    <w:rsid w:val="36BB76D3"/>
    <w:rsid w:val="36C81141"/>
    <w:rsid w:val="36DB2BB9"/>
    <w:rsid w:val="36F37C4B"/>
    <w:rsid w:val="36FA25D0"/>
    <w:rsid w:val="37183F1E"/>
    <w:rsid w:val="373C0FA3"/>
    <w:rsid w:val="37682A67"/>
    <w:rsid w:val="376A2227"/>
    <w:rsid w:val="377A7DA0"/>
    <w:rsid w:val="378B2CF8"/>
    <w:rsid w:val="378B5517"/>
    <w:rsid w:val="379E0C96"/>
    <w:rsid w:val="379F4342"/>
    <w:rsid w:val="37A91A34"/>
    <w:rsid w:val="37B95FE7"/>
    <w:rsid w:val="37BB18F9"/>
    <w:rsid w:val="37C62EFE"/>
    <w:rsid w:val="37D01571"/>
    <w:rsid w:val="37D050DF"/>
    <w:rsid w:val="37E6769D"/>
    <w:rsid w:val="380E0689"/>
    <w:rsid w:val="381C6576"/>
    <w:rsid w:val="382C3FF1"/>
    <w:rsid w:val="383374EF"/>
    <w:rsid w:val="38444BF6"/>
    <w:rsid w:val="384F06F9"/>
    <w:rsid w:val="385258AE"/>
    <w:rsid w:val="38594E76"/>
    <w:rsid w:val="388008B3"/>
    <w:rsid w:val="38832151"/>
    <w:rsid w:val="38A06CA6"/>
    <w:rsid w:val="38CC7F9C"/>
    <w:rsid w:val="38E52E0C"/>
    <w:rsid w:val="38FC02D6"/>
    <w:rsid w:val="38FC7CC2"/>
    <w:rsid w:val="3905037B"/>
    <w:rsid w:val="39254237"/>
    <w:rsid w:val="3926721C"/>
    <w:rsid w:val="39561EE2"/>
    <w:rsid w:val="39591256"/>
    <w:rsid w:val="39672918"/>
    <w:rsid w:val="398A7A7C"/>
    <w:rsid w:val="39A264A1"/>
    <w:rsid w:val="39C12F31"/>
    <w:rsid w:val="39D31333"/>
    <w:rsid w:val="39D54ED8"/>
    <w:rsid w:val="39F76E18"/>
    <w:rsid w:val="39FA22AE"/>
    <w:rsid w:val="3A0177D1"/>
    <w:rsid w:val="3A1A6108"/>
    <w:rsid w:val="3A1C3049"/>
    <w:rsid w:val="3A1F5ED9"/>
    <w:rsid w:val="3A2A31CC"/>
    <w:rsid w:val="3A2D55A1"/>
    <w:rsid w:val="3A304821"/>
    <w:rsid w:val="3A325BDD"/>
    <w:rsid w:val="3A395D55"/>
    <w:rsid w:val="3A3C2EFF"/>
    <w:rsid w:val="3A5B0034"/>
    <w:rsid w:val="3A5B6136"/>
    <w:rsid w:val="3A5F685E"/>
    <w:rsid w:val="3A900E36"/>
    <w:rsid w:val="3A9461B8"/>
    <w:rsid w:val="3AAC17D9"/>
    <w:rsid w:val="3AB3103A"/>
    <w:rsid w:val="3AC147A5"/>
    <w:rsid w:val="3ACB34B3"/>
    <w:rsid w:val="3AD74DC5"/>
    <w:rsid w:val="3AEC0481"/>
    <w:rsid w:val="3AF35977"/>
    <w:rsid w:val="3AFA4962"/>
    <w:rsid w:val="3B016FA4"/>
    <w:rsid w:val="3B0939FB"/>
    <w:rsid w:val="3B176304"/>
    <w:rsid w:val="3B201ED9"/>
    <w:rsid w:val="3B453A80"/>
    <w:rsid w:val="3B505FAD"/>
    <w:rsid w:val="3B6C38C7"/>
    <w:rsid w:val="3B6D5B91"/>
    <w:rsid w:val="3B742F61"/>
    <w:rsid w:val="3B745B59"/>
    <w:rsid w:val="3B7C5E89"/>
    <w:rsid w:val="3B8B7ED7"/>
    <w:rsid w:val="3B9C02DF"/>
    <w:rsid w:val="3BCC3E0F"/>
    <w:rsid w:val="3BCE547E"/>
    <w:rsid w:val="3BE17B92"/>
    <w:rsid w:val="3BEB698B"/>
    <w:rsid w:val="3BEC61E4"/>
    <w:rsid w:val="3BEC625F"/>
    <w:rsid w:val="3BEE404E"/>
    <w:rsid w:val="3C017F5D"/>
    <w:rsid w:val="3C597D99"/>
    <w:rsid w:val="3C6B3628"/>
    <w:rsid w:val="3C714642"/>
    <w:rsid w:val="3C942B7F"/>
    <w:rsid w:val="3C9444C5"/>
    <w:rsid w:val="3CA56E2E"/>
    <w:rsid w:val="3CB74ABF"/>
    <w:rsid w:val="3CF950D8"/>
    <w:rsid w:val="3CFD15BF"/>
    <w:rsid w:val="3D1E4B3E"/>
    <w:rsid w:val="3D202664"/>
    <w:rsid w:val="3D22462E"/>
    <w:rsid w:val="3D2755F1"/>
    <w:rsid w:val="3D2A22D5"/>
    <w:rsid w:val="3D314067"/>
    <w:rsid w:val="3D356511"/>
    <w:rsid w:val="3D365927"/>
    <w:rsid w:val="3D380F1D"/>
    <w:rsid w:val="3D472E44"/>
    <w:rsid w:val="3D570CE3"/>
    <w:rsid w:val="3D5F71B9"/>
    <w:rsid w:val="3D640998"/>
    <w:rsid w:val="3D7852A4"/>
    <w:rsid w:val="3DAF347D"/>
    <w:rsid w:val="3DB403CC"/>
    <w:rsid w:val="3DBB648E"/>
    <w:rsid w:val="3DC6374A"/>
    <w:rsid w:val="3DCE3E6E"/>
    <w:rsid w:val="3DE45300"/>
    <w:rsid w:val="3DFC3767"/>
    <w:rsid w:val="3E0633EE"/>
    <w:rsid w:val="3E0D2BA2"/>
    <w:rsid w:val="3E3A797F"/>
    <w:rsid w:val="3E3D2DA2"/>
    <w:rsid w:val="3E451B6A"/>
    <w:rsid w:val="3E541B40"/>
    <w:rsid w:val="3E5B7667"/>
    <w:rsid w:val="3E6F0B91"/>
    <w:rsid w:val="3EAB1A1E"/>
    <w:rsid w:val="3EBF31E2"/>
    <w:rsid w:val="3EC80A93"/>
    <w:rsid w:val="3ECC294C"/>
    <w:rsid w:val="3ECE3980"/>
    <w:rsid w:val="3EEB532A"/>
    <w:rsid w:val="3EFA3DD4"/>
    <w:rsid w:val="3F116709"/>
    <w:rsid w:val="3F245CDE"/>
    <w:rsid w:val="3F255D10"/>
    <w:rsid w:val="3F2C17D3"/>
    <w:rsid w:val="3F3C12AC"/>
    <w:rsid w:val="3F4B1CA0"/>
    <w:rsid w:val="3F585A92"/>
    <w:rsid w:val="3F6F42E2"/>
    <w:rsid w:val="3F6F612B"/>
    <w:rsid w:val="3F746C97"/>
    <w:rsid w:val="3F7A7910"/>
    <w:rsid w:val="3F85710B"/>
    <w:rsid w:val="3F871528"/>
    <w:rsid w:val="3F9A0498"/>
    <w:rsid w:val="3FBA368F"/>
    <w:rsid w:val="3FC72A05"/>
    <w:rsid w:val="3FD31ACD"/>
    <w:rsid w:val="3FF96E7B"/>
    <w:rsid w:val="3FFF13A1"/>
    <w:rsid w:val="4024246B"/>
    <w:rsid w:val="40257103"/>
    <w:rsid w:val="40394E68"/>
    <w:rsid w:val="40407A9F"/>
    <w:rsid w:val="4046117D"/>
    <w:rsid w:val="406C497A"/>
    <w:rsid w:val="40972C3D"/>
    <w:rsid w:val="409D65E2"/>
    <w:rsid w:val="40A9275A"/>
    <w:rsid w:val="40A92971"/>
    <w:rsid w:val="40B32646"/>
    <w:rsid w:val="40B57579"/>
    <w:rsid w:val="40CF3ECA"/>
    <w:rsid w:val="40CF64E2"/>
    <w:rsid w:val="40D44BE7"/>
    <w:rsid w:val="410302D3"/>
    <w:rsid w:val="4104019F"/>
    <w:rsid w:val="410A158D"/>
    <w:rsid w:val="411975DD"/>
    <w:rsid w:val="411C75E7"/>
    <w:rsid w:val="412B29A8"/>
    <w:rsid w:val="412F731A"/>
    <w:rsid w:val="413276FB"/>
    <w:rsid w:val="41422BEE"/>
    <w:rsid w:val="41523D1C"/>
    <w:rsid w:val="415919E2"/>
    <w:rsid w:val="416C5E78"/>
    <w:rsid w:val="416E0685"/>
    <w:rsid w:val="41A31447"/>
    <w:rsid w:val="41B03A6A"/>
    <w:rsid w:val="41B47717"/>
    <w:rsid w:val="41BE072C"/>
    <w:rsid w:val="41D176AE"/>
    <w:rsid w:val="41F07F48"/>
    <w:rsid w:val="42023998"/>
    <w:rsid w:val="42116A20"/>
    <w:rsid w:val="42334885"/>
    <w:rsid w:val="42574E91"/>
    <w:rsid w:val="42674891"/>
    <w:rsid w:val="42732927"/>
    <w:rsid w:val="42733236"/>
    <w:rsid w:val="427B0595"/>
    <w:rsid w:val="4286740D"/>
    <w:rsid w:val="429A07C3"/>
    <w:rsid w:val="42A25018"/>
    <w:rsid w:val="42A86388"/>
    <w:rsid w:val="42C41CE4"/>
    <w:rsid w:val="42CC1D66"/>
    <w:rsid w:val="42E16A8D"/>
    <w:rsid w:val="42F97BDF"/>
    <w:rsid w:val="42FA30E7"/>
    <w:rsid w:val="433E2ADB"/>
    <w:rsid w:val="43495316"/>
    <w:rsid w:val="43510169"/>
    <w:rsid w:val="43562F18"/>
    <w:rsid w:val="43630837"/>
    <w:rsid w:val="43A044FF"/>
    <w:rsid w:val="43A85162"/>
    <w:rsid w:val="43B34232"/>
    <w:rsid w:val="43BE75BA"/>
    <w:rsid w:val="43C8533B"/>
    <w:rsid w:val="43D41271"/>
    <w:rsid w:val="43FD6DCC"/>
    <w:rsid w:val="44005A27"/>
    <w:rsid w:val="440A7727"/>
    <w:rsid w:val="44126D70"/>
    <w:rsid w:val="441E4BDC"/>
    <w:rsid w:val="44213794"/>
    <w:rsid w:val="442B3AB6"/>
    <w:rsid w:val="443D129B"/>
    <w:rsid w:val="44474521"/>
    <w:rsid w:val="444D54F0"/>
    <w:rsid w:val="4456696C"/>
    <w:rsid w:val="44713000"/>
    <w:rsid w:val="44763C20"/>
    <w:rsid w:val="447910DE"/>
    <w:rsid w:val="447A398E"/>
    <w:rsid w:val="44841839"/>
    <w:rsid w:val="448E55A6"/>
    <w:rsid w:val="44AC6153"/>
    <w:rsid w:val="44BF2763"/>
    <w:rsid w:val="44C323AD"/>
    <w:rsid w:val="44D22496"/>
    <w:rsid w:val="44E64491"/>
    <w:rsid w:val="44EA49C0"/>
    <w:rsid w:val="44EB6C77"/>
    <w:rsid w:val="4504059A"/>
    <w:rsid w:val="4506147B"/>
    <w:rsid w:val="450E650B"/>
    <w:rsid w:val="45156108"/>
    <w:rsid w:val="45172894"/>
    <w:rsid w:val="45173B67"/>
    <w:rsid w:val="45214F15"/>
    <w:rsid w:val="45260A34"/>
    <w:rsid w:val="45386828"/>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5670F7"/>
    <w:rsid w:val="468E773A"/>
    <w:rsid w:val="469D1499"/>
    <w:rsid w:val="46A71700"/>
    <w:rsid w:val="46AF10E3"/>
    <w:rsid w:val="47024B89"/>
    <w:rsid w:val="47107999"/>
    <w:rsid w:val="47143D01"/>
    <w:rsid w:val="475D68D6"/>
    <w:rsid w:val="476842AD"/>
    <w:rsid w:val="477A1B32"/>
    <w:rsid w:val="479B078B"/>
    <w:rsid w:val="47B503DA"/>
    <w:rsid w:val="47D67F9D"/>
    <w:rsid w:val="47ED75E7"/>
    <w:rsid w:val="48082673"/>
    <w:rsid w:val="48104F4B"/>
    <w:rsid w:val="4813505E"/>
    <w:rsid w:val="482C583F"/>
    <w:rsid w:val="48575A24"/>
    <w:rsid w:val="485A0F31"/>
    <w:rsid w:val="486960B0"/>
    <w:rsid w:val="486B7B64"/>
    <w:rsid w:val="48937EE4"/>
    <w:rsid w:val="4898249A"/>
    <w:rsid w:val="48A850A9"/>
    <w:rsid w:val="48AE321A"/>
    <w:rsid w:val="48D50670"/>
    <w:rsid w:val="48EE1C81"/>
    <w:rsid w:val="48FD5F50"/>
    <w:rsid w:val="48FD7CFE"/>
    <w:rsid w:val="490960E7"/>
    <w:rsid w:val="491470E5"/>
    <w:rsid w:val="491A45B5"/>
    <w:rsid w:val="49222F70"/>
    <w:rsid w:val="49295900"/>
    <w:rsid w:val="49474F7F"/>
    <w:rsid w:val="49721F17"/>
    <w:rsid w:val="497524EA"/>
    <w:rsid w:val="4984096B"/>
    <w:rsid w:val="49887640"/>
    <w:rsid w:val="4990049A"/>
    <w:rsid w:val="49A93559"/>
    <w:rsid w:val="49D91326"/>
    <w:rsid w:val="49D97E23"/>
    <w:rsid w:val="4A0643BD"/>
    <w:rsid w:val="4A1B668D"/>
    <w:rsid w:val="4A315BF5"/>
    <w:rsid w:val="4A445F6B"/>
    <w:rsid w:val="4A5120AF"/>
    <w:rsid w:val="4A524E6F"/>
    <w:rsid w:val="4A66609A"/>
    <w:rsid w:val="4A7B75C1"/>
    <w:rsid w:val="4A863467"/>
    <w:rsid w:val="4A9B77CE"/>
    <w:rsid w:val="4AB92A34"/>
    <w:rsid w:val="4ABE237D"/>
    <w:rsid w:val="4AEE3B20"/>
    <w:rsid w:val="4AF72E03"/>
    <w:rsid w:val="4AFC3E8E"/>
    <w:rsid w:val="4B0F0E2B"/>
    <w:rsid w:val="4B152A07"/>
    <w:rsid w:val="4B1C180C"/>
    <w:rsid w:val="4B1E1A4F"/>
    <w:rsid w:val="4B253B21"/>
    <w:rsid w:val="4B3949FD"/>
    <w:rsid w:val="4B3C128B"/>
    <w:rsid w:val="4B5D7FE4"/>
    <w:rsid w:val="4B6260CD"/>
    <w:rsid w:val="4B6C5A20"/>
    <w:rsid w:val="4B775B45"/>
    <w:rsid w:val="4B924CBF"/>
    <w:rsid w:val="4B9634B6"/>
    <w:rsid w:val="4B9745A8"/>
    <w:rsid w:val="4BBC1086"/>
    <w:rsid w:val="4BDC44F7"/>
    <w:rsid w:val="4BE11A5A"/>
    <w:rsid w:val="4BE156B5"/>
    <w:rsid w:val="4BE53277"/>
    <w:rsid w:val="4BE56F53"/>
    <w:rsid w:val="4C161A93"/>
    <w:rsid w:val="4C1A40B9"/>
    <w:rsid w:val="4C294CD7"/>
    <w:rsid w:val="4C350442"/>
    <w:rsid w:val="4C5879AB"/>
    <w:rsid w:val="4C5D5B32"/>
    <w:rsid w:val="4C7B1F56"/>
    <w:rsid w:val="4C7F3552"/>
    <w:rsid w:val="4C840523"/>
    <w:rsid w:val="4C8512A3"/>
    <w:rsid w:val="4C9A44A7"/>
    <w:rsid w:val="4C9F0B13"/>
    <w:rsid w:val="4CB24DE4"/>
    <w:rsid w:val="4CB30DFF"/>
    <w:rsid w:val="4CB80AD8"/>
    <w:rsid w:val="4CBE2D36"/>
    <w:rsid w:val="4CD07C03"/>
    <w:rsid w:val="4CE03BBE"/>
    <w:rsid w:val="4CEE2FE2"/>
    <w:rsid w:val="4D0C2C77"/>
    <w:rsid w:val="4D2A270F"/>
    <w:rsid w:val="4D2A63E7"/>
    <w:rsid w:val="4D311078"/>
    <w:rsid w:val="4D3A6253"/>
    <w:rsid w:val="4D3F3878"/>
    <w:rsid w:val="4D4A27DE"/>
    <w:rsid w:val="4D4F7737"/>
    <w:rsid w:val="4D522F2B"/>
    <w:rsid w:val="4D605565"/>
    <w:rsid w:val="4D7A191D"/>
    <w:rsid w:val="4DBB46A4"/>
    <w:rsid w:val="4DC21A85"/>
    <w:rsid w:val="4DCF687D"/>
    <w:rsid w:val="4DD76D6F"/>
    <w:rsid w:val="4DD80FDB"/>
    <w:rsid w:val="4DDC26BA"/>
    <w:rsid w:val="4DDC6134"/>
    <w:rsid w:val="4DE323DC"/>
    <w:rsid w:val="4DEB3C6F"/>
    <w:rsid w:val="4DEE7FDD"/>
    <w:rsid w:val="4E173DFC"/>
    <w:rsid w:val="4E1E7642"/>
    <w:rsid w:val="4E2157B8"/>
    <w:rsid w:val="4E473EF5"/>
    <w:rsid w:val="4E6011B1"/>
    <w:rsid w:val="4E6078EB"/>
    <w:rsid w:val="4E6F6FA8"/>
    <w:rsid w:val="4E805ED2"/>
    <w:rsid w:val="4E844A0F"/>
    <w:rsid w:val="4E952D74"/>
    <w:rsid w:val="4E9A049C"/>
    <w:rsid w:val="4E9D4148"/>
    <w:rsid w:val="4EA675F5"/>
    <w:rsid w:val="4EAD187E"/>
    <w:rsid w:val="4EC07B31"/>
    <w:rsid w:val="4ED42E31"/>
    <w:rsid w:val="4EEA35C3"/>
    <w:rsid w:val="4EEA7FD8"/>
    <w:rsid w:val="4F0239C0"/>
    <w:rsid w:val="4F2953A8"/>
    <w:rsid w:val="4F346466"/>
    <w:rsid w:val="4F625541"/>
    <w:rsid w:val="4F6A776F"/>
    <w:rsid w:val="4F6D7F7A"/>
    <w:rsid w:val="4F766114"/>
    <w:rsid w:val="4FA669F9"/>
    <w:rsid w:val="4FAD4077"/>
    <w:rsid w:val="4FB8570C"/>
    <w:rsid w:val="4FC13833"/>
    <w:rsid w:val="4FDB0177"/>
    <w:rsid w:val="4FE81242"/>
    <w:rsid w:val="4FED26C4"/>
    <w:rsid w:val="4FF27E90"/>
    <w:rsid w:val="4FF71ABD"/>
    <w:rsid w:val="5001120A"/>
    <w:rsid w:val="50133BA7"/>
    <w:rsid w:val="501B2DF5"/>
    <w:rsid w:val="501B6121"/>
    <w:rsid w:val="50260FFD"/>
    <w:rsid w:val="503404A9"/>
    <w:rsid w:val="50364E53"/>
    <w:rsid w:val="505521CD"/>
    <w:rsid w:val="507D4234"/>
    <w:rsid w:val="508A3C4F"/>
    <w:rsid w:val="509409A8"/>
    <w:rsid w:val="50B94988"/>
    <w:rsid w:val="50C073B3"/>
    <w:rsid w:val="50DD6E91"/>
    <w:rsid w:val="50EA68C4"/>
    <w:rsid w:val="50EB2380"/>
    <w:rsid w:val="510317D9"/>
    <w:rsid w:val="510C765E"/>
    <w:rsid w:val="51257DF2"/>
    <w:rsid w:val="514963DB"/>
    <w:rsid w:val="51571C09"/>
    <w:rsid w:val="515E1493"/>
    <w:rsid w:val="516D2BC8"/>
    <w:rsid w:val="518E1E3B"/>
    <w:rsid w:val="518F7A80"/>
    <w:rsid w:val="51A151B5"/>
    <w:rsid w:val="51B55619"/>
    <w:rsid w:val="51D5428B"/>
    <w:rsid w:val="51DD4959"/>
    <w:rsid w:val="521D671E"/>
    <w:rsid w:val="52211609"/>
    <w:rsid w:val="52255FDA"/>
    <w:rsid w:val="522D783F"/>
    <w:rsid w:val="52316962"/>
    <w:rsid w:val="524F33D3"/>
    <w:rsid w:val="52524D6B"/>
    <w:rsid w:val="525C74FA"/>
    <w:rsid w:val="52676D69"/>
    <w:rsid w:val="526D647F"/>
    <w:rsid w:val="52735BE6"/>
    <w:rsid w:val="527436A9"/>
    <w:rsid w:val="527B0B6E"/>
    <w:rsid w:val="52834B25"/>
    <w:rsid w:val="52972F91"/>
    <w:rsid w:val="52992845"/>
    <w:rsid w:val="52C553E8"/>
    <w:rsid w:val="52CC0C38"/>
    <w:rsid w:val="52CD532C"/>
    <w:rsid w:val="52EF191C"/>
    <w:rsid w:val="52F06F3A"/>
    <w:rsid w:val="52FA36B8"/>
    <w:rsid w:val="531043A0"/>
    <w:rsid w:val="531225F7"/>
    <w:rsid w:val="531377EE"/>
    <w:rsid w:val="531A1D19"/>
    <w:rsid w:val="53202F66"/>
    <w:rsid w:val="533407C0"/>
    <w:rsid w:val="533B3710"/>
    <w:rsid w:val="5346615D"/>
    <w:rsid w:val="534A3B3F"/>
    <w:rsid w:val="535D44E5"/>
    <w:rsid w:val="536264C0"/>
    <w:rsid w:val="53736AD3"/>
    <w:rsid w:val="538F6092"/>
    <w:rsid w:val="539508FE"/>
    <w:rsid w:val="539C2A63"/>
    <w:rsid w:val="53A53F7E"/>
    <w:rsid w:val="53B63C4A"/>
    <w:rsid w:val="53FA34C3"/>
    <w:rsid w:val="540B3F15"/>
    <w:rsid w:val="541D1254"/>
    <w:rsid w:val="54262366"/>
    <w:rsid w:val="54266722"/>
    <w:rsid w:val="54284CF2"/>
    <w:rsid w:val="54497D6E"/>
    <w:rsid w:val="544A6CFB"/>
    <w:rsid w:val="545A09DD"/>
    <w:rsid w:val="547831AD"/>
    <w:rsid w:val="547A66A6"/>
    <w:rsid w:val="549366B5"/>
    <w:rsid w:val="549A60AE"/>
    <w:rsid w:val="54B35714"/>
    <w:rsid w:val="54B41BB8"/>
    <w:rsid w:val="54BC0A6D"/>
    <w:rsid w:val="54C66B7F"/>
    <w:rsid w:val="54DA1D79"/>
    <w:rsid w:val="54E76163"/>
    <w:rsid w:val="54EC75A4"/>
    <w:rsid w:val="54ED6DD9"/>
    <w:rsid w:val="54F230EF"/>
    <w:rsid w:val="54F521F2"/>
    <w:rsid w:val="54F91008"/>
    <w:rsid w:val="55357EFD"/>
    <w:rsid w:val="554B56D5"/>
    <w:rsid w:val="55754C4A"/>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3850A5"/>
    <w:rsid w:val="563B5EA8"/>
    <w:rsid w:val="564469BE"/>
    <w:rsid w:val="5648537C"/>
    <w:rsid w:val="56502844"/>
    <w:rsid w:val="56595468"/>
    <w:rsid w:val="56881A68"/>
    <w:rsid w:val="568A11FB"/>
    <w:rsid w:val="569869C4"/>
    <w:rsid w:val="569D69D1"/>
    <w:rsid w:val="56A95021"/>
    <w:rsid w:val="56B714EC"/>
    <w:rsid w:val="56CD4670"/>
    <w:rsid w:val="56D0674C"/>
    <w:rsid w:val="56D2633A"/>
    <w:rsid w:val="56EB1328"/>
    <w:rsid w:val="56F23B46"/>
    <w:rsid w:val="56F251A8"/>
    <w:rsid w:val="56F72C39"/>
    <w:rsid w:val="56FE512A"/>
    <w:rsid w:val="56FE711B"/>
    <w:rsid w:val="57331E48"/>
    <w:rsid w:val="574236E7"/>
    <w:rsid w:val="576E7563"/>
    <w:rsid w:val="577613A7"/>
    <w:rsid w:val="578F505B"/>
    <w:rsid w:val="57BB362F"/>
    <w:rsid w:val="57C17087"/>
    <w:rsid w:val="57CC199D"/>
    <w:rsid w:val="57D02D65"/>
    <w:rsid w:val="57D82404"/>
    <w:rsid w:val="57E642F4"/>
    <w:rsid w:val="57EB755D"/>
    <w:rsid w:val="5805584A"/>
    <w:rsid w:val="581F1993"/>
    <w:rsid w:val="582F1556"/>
    <w:rsid w:val="58411023"/>
    <w:rsid w:val="584506EC"/>
    <w:rsid w:val="585516AC"/>
    <w:rsid w:val="587B083D"/>
    <w:rsid w:val="588B5FDD"/>
    <w:rsid w:val="58A82413"/>
    <w:rsid w:val="58DC7930"/>
    <w:rsid w:val="58E00DE3"/>
    <w:rsid w:val="5900361E"/>
    <w:rsid w:val="592117E6"/>
    <w:rsid w:val="59326AFB"/>
    <w:rsid w:val="594A040E"/>
    <w:rsid w:val="594D217F"/>
    <w:rsid w:val="59583C47"/>
    <w:rsid w:val="59725489"/>
    <w:rsid w:val="59861649"/>
    <w:rsid w:val="598853C1"/>
    <w:rsid w:val="599117C3"/>
    <w:rsid w:val="59BB5797"/>
    <w:rsid w:val="59CF4D9E"/>
    <w:rsid w:val="59D43694"/>
    <w:rsid w:val="59EE2705"/>
    <w:rsid w:val="59FC0C9C"/>
    <w:rsid w:val="5A006A9A"/>
    <w:rsid w:val="5A085A19"/>
    <w:rsid w:val="5A0F31E9"/>
    <w:rsid w:val="5A0F3E83"/>
    <w:rsid w:val="5A197C7D"/>
    <w:rsid w:val="5A3B231E"/>
    <w:rsid w:val="5A3D09A9"/>
    <w:rsid w:val="5A3D2BB3"/>
    <w:rsid w:val="5A4A02E1"/>
    <w:rsid w:val="5A53477B"/>
    <w:rsid w:val="5A557999"/>
    <w:rsid w:val="5A58195D"/>
    <w:rsid w:val="5A5C197E"/>
    <w:rsid w:val="5A5F1DD9"/>
    <w:rsid w:val="5ABC7179"/>
    <w:rsid w:val="5ACB1A0A"/>
    <w:rsid w:val="5AD17E36"/>
    <w:rsid w:val="5AFA7B96"/>
    <w:rsid w:val="5B0015B8"/>
    <w:rsid w:val="5B00605E"/>
    <w:rsid w:val="5B095BCC"/>
    <w:rsid w:val="5B161F0B"/>
    <w:rsid w:val="5B17043B"/>
    <w:rsid w:val="5B170542"/>
    <w:rsid w:val="5B6F05E7"/>
    <w:rsid w:val="5B874E3C"/>
    <w:rsid w:val="5B883E0A"/>
    <w:rsid w:val="5B91324A"/>
    <w:rsid w:val="5B9C7546"/>
    <w:rsid w:val="5BBA2C5B"/>
    <w:rsid w:val="5BBD3DFF"/>
    <w:rsid w:val="5BD16A64"/>
    <w:rsid w:val="5BD43FBF"/>
    <w:rsid w:val="5C1919D1"/>
    <w:rsid w:val="5C1E1DF6"/>
    <w:rsid w:val="5C343DF8"/>
    <w:rsid w:val="5C365168"/>
    <w:rsid w:val="5C514E2F"/>
    <w:rsid w:val="5C672263"/>
    <w:rsid w:val="5C7E0D01"/>
    <w:rsid w:val="5CA35E8F"/>
    <w:rsid w:val="5CBD425B"/>
    <w:rsid w:val="5CD423BD"/>
    <w:rsid w:val="5CD92914"/>
    <w:rsid w:val="5CE44C91"/>
    <w:rsid w:val="5CE46DB3"/>
    <w:rsid w:val="5CF50FC0"/>
    <w:rsid w:val="5D0134C1"/>
    <w:rsid w:val="5D0B07E3"/>
    <w:rsid w:val="5D2268F2"/>
    <w:rsid w:val="5D2329C6"/>
    <w:rsid w:val="5D237123"/>
    <w:rsid w:val="5D2A6F8F"/>
    <w:rsid w:val="5D2B343B"/>
    <w:rsid w:val="5D3F4BF0"/>
    <w:rsid w:val="5D467A6D"/>
    <w:rsid w:val="5D6C4344"/>
    <w:rsid w:val="5D7C3512"/>
    <w:rsid w:val="5DA37EF5"/>
    <w:rsid w:val="5DA451C1"/>
    <w:rsid w:val="5DF64FF0"/>
    <w:rsid w:val="5DFC012C"/>
    <w:rsid w:val="5DFD2CDA"/>
    <w:rsid w:val="5E021BF1"/>
    <w:rsid w:val="5E28494C"/>
    <w:rsid w:val="5E294417"/>
    <w:rsid w:val="5E4C5DAB"/>
    <w:rsid w:val="5E58112D"/>
    <w:rsid w:val="5E7813D8"/>
    <w:rsid w:val="5E8C1C35"/>
    <w:rsid w:val="5E8D4131"/>
    <w:rsid w:val="5EBB785B"/>
    <w:rsid w:val="5EDC2D1E"/>
    <w:rsid w:val="5EEF6D7E"/>
    <w:rsid w:val="5F1B2B11"/>
    <w:rsid w:val="5F22579C"/>
    <w:rsid w:val="5F2A6379"/>
    <w:rsid w:val="5F346F7D"/>
    <w:rsid w:val="5F395630"/>
    <w:rsid w:val="5F3D5379"/>
    <w:rsid w:val="5F427DC1"/>
    <w:rsid w:val="5F467F61"/>
    <w:rsid w:val="5F5B278A"/>
    <w:rsid w:val="5F664ADF"/>
    <w:rsid w:val="5F7268F8"/>
    <w:rsid w:val="5F776A62"/>
    <w:rsid w:val="5F7A3577"/>
    <w:rsid w:val="5F7F0FB8"/>
    <w:rsid w:val="5F7F4139"/>
    <w:rsid w:val="5F812FDF"/>
    <w:rsid w:val="5F831102"/>
    <w:rsid w:val="5F98156A"/>
    <w:rsid w:val="5FA025C7"/>
    <w:rsid w:val="5FA23DB9"/>
    <w:rsid w:val="5FA42A2C"/>
    <w:rsid w:val="5FA62A45"/>
    <w:rsid w:val="60121E89"/>
    <w:rsid w:val="602C2509"/>
    <w:rsid w:val="60302541"/>
    <w:rsid w:val="605129B1"/>
    <w:rsid w:val="605B6228"/>
    <w:rsid w:val="60786CFC"/>
    <w:rsid w:val="60944E5E"/>
    <w:rsid w:val="60A71236"/>
    <w:rsid w:val="60AA7324"/>
    <w:rsid w:val="60B368C7"/>
    <w:rsid w:val="60BB7E2A"/>
    <w:rsid w:val="60BC29F1"/>
    <w:rsid w:val="60BD4E13"/>
    <w:rsid w:val="60E2185B"/>
    <w:rsid w:val="60F449B2"/>
    <w:rsid w:val="61004390"/>
    <w:rsid w:val="61066927"/>
    <w:rsid w:val="61113BC5"/>
    <w:rsid w:val="61127EA2"/>
    <w:rsid w:val="611D1A4C"/>
    <w:rsid w:val="612260FC"/>
    <w:rsid w:val="613057B7"/>
    <w:rsid w:val="61332E72"/>
    <w:rsid w:val="614119B8"/>
    <w:rsid w:val="61443276"/>
    <w:rsid w:val="61580FE4"/>
    <w:rsid w:val="615E036F"/>
    <w:rsid w:val="615E7CCC"/>
    <w:rsid w:val="6160385B"/>
    <w:rsid w:val="61605860"/>
    <w:rsid w:val="61607A56"/>
    <w:rsid w:val="616952FD"/>
    <w:rsid w:val="617050B9"/>
    <w:rsid w:val="617E7B9B"/>
    <w:rsid w:val="61805AAF"/>
    <w:rsid w:val="61876A72"/>
    <w:rsid w:val="618F6C61"/>
    <w:rsid w:val="61A66D2D"/>
    <w:rsid w:val="61B41449"/>
    <w:rsid w:val="61C43BA7"/>
    <w:rsid w:val="61C928D1"/>
    <w:rsid w:val="61DB152F"/>
    <w:rsid w:val="61F41846"/>
    <w:rsid w:val="61F657B8"/>
    <w:rsid w:val="6200468F"/>
    <w:rsid w:val="62080547"/>
    <w:rsid w:val="62154E77"/>
    <w:rsid w:val="62232481"/>
    <w:rsid w:val="62293403"/>
    <w:rsid w:val="622F0DE0"/>
    <w:rsid w:val="62496B6E"/>
    <w:rsid w:val="624F6F2D"/>
    <w:rsid w:val="625A02AF"/>
    <w:rsid w:val="626F2992"/>
    <w:rsid w:val="62707B03"/>
    <w:rsid w:val="62744739"/>
    <w:rsid w:val="62854B94"/>
    <w:rsid w:val="628F7D79"/>
    <w:rsid w:val="62D376AD"/>
    <w:rsid w:val="62D90A3C"/>
    <w:rsid w:val="62E1431E"/>
    <w:rsid w:val="62EE50B6"/>
    <w:rsid w:val="62F15D85"/>
    <w:rsid w:val="62F329B7"/>
    <w:rsid w:val="6300246C"/>
    <w:rsid w:val="63046B74"/>
    <w:rsid w:val="6307369F"/>
    <w:rsid w:val="63117E08"/>
    <w:rsid w:val="63161C90"/>
    <w:rsid w:val="633A242D"/>
    <w:rsid w:val="635337A6"/>
    <w:rsid w:val="63616FBA"/>
    <w:rsid w:val="63646637"/>
    <w:rsid w:val="637A7B03"/>
    <w:rsid w:val="639B0D9E"/>
    <w:rsid w:val="639C3223"/>
    <w:rsid w:val="639F518E"/>
    <w:rsid w:val="63A365C7"/>
    <w:rsid w:val="63A8314E"/>
    <w:rsid w:val="63AC081F"/>
    <w:rsid w:val="63C51C18"/>
    <w:rsid w:val="63CB1C09"/>
    <w:rsid w:val="63CF1BCC"/>
    <w:rsid w:val="63D63D42"/>
    <w:rsid w:val="63DE4E6F"/>
    <w:rsid w:val="63F45964"/>
    <w:rsid w:val="640A69EA"/>
    <w:rsid w:val="642B52C7"/>
    <w:rsid w:val="64434CED"/>
    <w:rsid w:val="64525E6F"/>
    <w:rsid w:val="647D4422"/>
    <w:rsid w:val="64967909"/>
    <w:rsid w:val="64973A5A"/>
    <w:rsid w:val="64C03C61"/>
    <w:rsid w:val="64C16B3D"/>
    <w:rsid w:val="64E55AB9"/>
    <w:rsid w:val="64EE6AA2"/>
    <w:rsid w:val="64EF4547"/>
    <w:rsid w:val="64FE29DC"/>
    <w:rsid w:val="6517172B"/>
    <w:rsid w:val="65441497"/>
    <w:rsid w:val="654E5680"/>
    <w:rsid w:val="65533C99"/>
    <w:rsid w:val="65646CE3"/>
    <w:rsid w:val="65675A6D"/>
    <w:rsid w:val="65693D66"/>
    <w:rsid w:val="656A30F3"/>
    <w:rsid w:val="657A6EF0"/>
    <w:rsid w:val="65860E11"/>
    <w:rsid w:val="659A7E09"/>
    <w:rsid w:val="65B90BF8"/>
    <w:rsid w:val="65D31D6D"/>
    <w:rsid w:val="65D433F7"/>
    <w:rsid w:val="65DF0FAA"/>
    <w:rsid w:val="65E46075"/>
    <w:rsid w:val="66024DE1"/>
    <w:rsid w:val="66296E44"/>
    <w:rsid w:val="662C6A60"/>
    <w:rsid w:val="66734E89"/>
    <w:rsid w:val="667B18AC"/>
    <w:rsid w:val="669B4986"/>
    <w:rsid w:val="669B71AF"/>
    <w:rsid w:val="66C67BD2"/>
    <w:rsid w:val="67000C8D"/>
    <w:rsid w:val="67020F3E"/>
    <w:rsid w:val="6737777F"/>
    <w:rsid w:val="6745041D"/>
    <w:rsid w:val="67776250"/>
    <w:rsid w:val="678A1321"/>
    <w:rsid w:val="678B5AFD"/>
    <w:rsid w:val="67951B07"/>
    <w:rsid w:val="67AA29A7"/>
    <w:rsid w:val="67B47053"/>
    <w:rsid w:val="67CE1741"/>
    <w:rsid w:val="67DF62C5"/>
    <w:rsid w:val="6817328F"/>
    <w:rsid w:val="68456D65"/>
    <w:rsid w:val="685309F8"/>
    <w:rsid w:val="68640AED"/>
    <w:rsid w:val="687025EE"/>
    <w:rsid w:val="6878062D"/>
    <w:rsid w:val="687A11E5"/>
    <w:rsid w:val="68A65864"/>
    <w:rsid w:val="68C46CA4"/>
    <w:rsid w:val="68CD2DF1"/>
    <w:rsid w:val="68DA5E49"/>
    <w:rsid w:val="68DB2B3B"/>
    <w:rsid w:val="68E7246A"/>
    <w:rsid w:val="68E96A4F"/>
    <w:rsid w:val="68F93BE6"/>
    <w:rsid w:val="68FF6DF4"/>
    <w:rsid w:val="690A194F"/>
    <w:rsid w:val="694831A6"/>
    <w:rsid w:val="694C2A9E"/>
    <w:rsid w:val="69721032"/>
    <w:rsid w:val="69764E27"/>
    <w:rsid w:val="697F058F"/>
    <w:rsid w:val="69823BDB"/>
    <w:rsid w:val="69846EAC"/>
    <w:rsid w:val="699302E5"/>
    <w:rsid w:val="69A97722"/>
    <w:rsid w:val="69B5672E"/>
    <w:rsid w:val="69BE518B"/>
    <w:rsid w:val="69C42446"/>
    <w:rsid w:val="69D64202"/>
    <w:rsid w:val="6A2B06BD"/>
    <w:rsid w:val="6A3258FA"/>
    <w:rsid w:val="6A506220"/>
    <w:rsid w:val="6A6A3EBF"/>
    <w:rsid w:val="6A813F55"/>
    <w:rsid w:val="6A880A51"/>
    <w:rsid w:val="6A9E77F5"/>
    <w:rsid w:val="6AAA5217"/>
    <w:rsid w:val="6AC76C5B"/>
    <w:rsid w:val="6AE00903"/>
    <w:rsid w:val="6B151E45"/>
    <w:rsid w:val="6B472352"/>
    <w:rsid w:val="6B517D09"/>
    <w:rsid w:val="6B851761"/>
    <w:rsid w:val="6B9666AF"/>
    <w:rsid w:val="6BB65DBE"/>
    <w:rsid w:val="6BC3046E"/>
    <w:rsid w:val="6BD44481"/>
    <w:rsid w:val="6BD77B89"/>
    <w:rsid w:val="6BE163E9"/>
    <w:rsid w:val="6C066C46"/>
    <w:rsid w:val="6C150D37"/>
    <w:rsid w:val="6C224890"/>
    <w:rsid w:val="6C303DC2"/>
    <w:rsid w:val="6C31178D"/>
    <w:rsid w:val="6C507FC1"/>
    <w:rsid w:val="6C522A70"/>
    <w:rsid w:val="6C56457F"/>
    <w:rsid w:val="6C586E75"/>
    <w:rsid w:val="6C6F6809"/>
    <w:rsid w:val="6C882CD0"/>
    <w:rsid w:val="6C976C1F"/>
    <w:rsid w:val="6C9822E2"/>
    <w:rsid w:val="6CA16A6E"/>
    <w:rsid w:val="6CA76876"/>
    <w:rsid w:val="6CAF7CE4"/>
    <w:rsid w:val="6CB16AD5"/>
    <w:rsid w:val="6CC32850"/>
    <w:rsid w:val="6CCA700A"/>
    <w:rsid w:val="6CD418CB"/>
    <w:rsid w:val="6CDF1C45"/>
    <w:rsid w:val="6D1254AA"/>
    <w:rsid w:val="6D1902BC"/>
    <w:rsid w:val="6D323B6A"/>
    <w:rsid w:val="6D3F3B91"/>
    <w:rsid w:val="6D3F6EA2"/>
    <w:rsid w:val="6D5F72F2"/>
    <w:rsid w:val="6D627EBE"/>
    <w:rsid w:val="6D8D7153"/>
    <w:rsid w:val="6D960444"/>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D1FF5"/>
    <w:rsid w:val="6F1439DE"/>
    <w:rsid w:val="6F2413FB"/>
    <w:rsid w:val="6F2655CF"/>
    <w:rsid w:val="6F2B4A33"/>
    <w:rsid w:val="6F561D13"/>
    <w:rsid w:val="6F694C60"/>
    <w:rsid w:val="6F6D2C38"/>
    <w:rsid w:val="6FB10C62"/>
    <w:rsid w:val="6FB96C38"/>
    <w:rsid w:val="6FBF41C2"/>
    <w:rsid w:val="6FCF227C"/>
    <w:rsid w:val="6FDB5DF3"/>
    <w:rsid w:val="6FE01BE4"/>
    <w:rsid w:val="6FF23B92"/>
    <w:rsid w:val="70076BE8"/>
    <w:rsid w:val="70167664"/>
    <w:rsid w:val="70344BA7"/>
    <w:rsid w:val="7042491C"/>
    <w:rsid w:val="70547015"/>
    <w:rsid w:val="705D2CAF"/>
    <w:rsid w:val="706376B7"/>
    <w:rsid w:val="706731CF"/>
    <w:rsid w:val="707B493C"/>
    <w:rsid w:val="709D26ED"/>
    <w:rsid w:val="70B5022D"/>
    <w:rsid w:val="70B96C2C"/>
    <w:rsid w:val="70BC291B"/>
    <w:rsid w:val="70C1238E"/>
    <w:rsid w:val="70CE5177"/>
    <w:rsid w:val="70E1568B"/>
    <w:rsid w:val="70F53623"/>
    <w:rsid w:val="70FC0717"/>
    <w:rsid w:val="70FD0CB3"/>
    <w:rsid w:val="7131029F"/>
    <w:rsid w:val="7134243C"/>
    <w:rsid w:val="714B778F"/>
    <w:rsid w:val="714C14FB"/>
    <w:rsid w:val="71531542"/>
    <w:rsid w:val="71594B1A"/>
    <w:rsid w:val="715F4802"/>
    <w:rsid w:val="71623664"/>
    <w:rsid w:val="71696914"/>
    <w:rsid w:val="716A38D3"/>
    <w:rsid w:val="716E0414"/>
    <w:rsid w:val="71750DA8"/>
    <w:rsid w:val="71852264"/>
    <w:rsid w:val="71973F9C"/>
    <w:rsid w:val="71C719BD"/>
    <w:rsid w:val="71CD20B4"/>
    <w:rsid w:val="71D465DA"/>
    <w:rsid w:val="72057945"/>
    <w:rsid w:val="72081016"/>
    <w:rsid w:val="72186B9B"/>
    <w:rsid w:val="721F2D5F"/>
    <w:rsid w:val="722417A6"/>
    <w:rsid w:val="723B0DCB"/>
    <w:rsid w:val="723C4572"/>
    <w:rsid w:val="7253310B"/>
    <w:rsid w:val="72617199"/>
    <w:rsid w:val="72757747"/>
    <w:rsid w:val="7287390F"/>
    <w:rsid w:val="72966C68"/>
    <w:rsid w:val="729B611A"/>
    <w:rsid w:val="729D55E2"/>
    <w:rsid w:val="72C11027"/>
    <w:rsid w:val="72C87BB3"/>
    <w:rsid w:val="72CB7615"/>
    <w:rsid w:val="72CD39AE"/>
    <w:rsid w:val="72CD5D48"/>
    <w:rsid w:val="72CD76A8"/>
    <w:rsid w:val="72D7609F"/>
    <w:rsid w:val="72E826FD"/>
    <w:rsid w:val="72F0685D"/>
    <w:rsid w:val="72FA6191"/>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E7C85"/>
    <w:rsid w:val="73EC4A73"/>
    <w:rsid w:val="73F529AB"/>
    <w:rsid w:val="73F61544"/>
    <w:rsid w:val="74106F3C"/>
    <w:rsid w:val="742C4E6F"/>
    <w:rsid w:val="743A0007"/>
    <w:rsid w:val="743F6E02"/>
    <w:rsid w:val="74430C59"/>
    <w:rsid w:val="744D6708"/>
    <w:rsid w:val="74621F57"/>
    <w:rsid w:val="7497260F"/>
    <w:rsid w:val="74974695"/>
    <w:rsid w:val="74995E18"/>
    <w:rsid w:val="749D3FBF"/>
    <w:rsid w:val="74A808EF"/>
    <w:rsid w:val="74B84955"/>
    <w:rsid w:val="74CA4688"/>
    <w:rsid w:val="74EC6643"/>
    <w:rsid w:val="75017940"/>
    <w:rsid w:val="75134281"/>
    <w:rsid w:val="75183646"/>
    <w:rsid w:val="75233019"/>
    <w:rsid w:val="75420C99"/>
    <w:rsid w:val="75544923"/>
    <w:rsid w:val="755C3532"/>
    <w:rsid w:val="75661BB1"/>
    <w:rsid w:val="75745049"/>
    <w:rsid w:val="759650DB"/>
    <w:rsid w:val="759929D8"/>
    <w:rsid w:val="75B65DC2"/>
    <w:rsid w:val="75C231D4"/>
    <w:rsid w:val="75CF2869"/>
    <w:rsid w:val="75D24AC9"/>
    <w:rsid w:val="75EC0026"/>
    <w:rsid w:val="76124539"/>
    <w:rsid w:val="76343198"/>
    <w:rsid w:val="766341D3"/>
    <w:rsid w:val="76636EEA"/>
    <w:rsid w:val="76675EA0"/>
    <w:rsid w:val="76A21419"/>
    <w:rsid w:val="76A22693"/>
    <w:rsid w:val="76A3100E"/>
    <w:rsid w:val="76C515AB"/>
    <w:rsid w:val="76CE3202"/>
    <w:rsid w:val="76D35A76"/>
    <w:rsid w:val="76DD06A3"/>
    <w:rsid w:val="76FE2465"/>
    <w:rsid w:val="7749547D"/>
    <w:rsid w:val="7769092B"/>
    <w:rsid w:val="777E4F45"/>
    <w:rsid w:val="77974CF6"/>
    <w:rsid w:val="77A407E3"/>
    <w:rsid w:val="77A61681"/>
    <w:rsid w:val="77B118E6"/>
    <w:rsid w:val="77C13E3B"/>
    <w:rsid w:val="77CD4BBB"/>
    <w:rsid w:val="781E0936"/>
    <w:rsid w:val="782115C4"/>
    <w:rsid w:val="78220996"/>
    <w:rsid w:val="7826701A"/>
    <w:rsid w:val="783532AA"/>
    <w:rsid w:val="78407669"/>
    <w:rsid w:val="786524C7"/>
    <w:rsid w:val="78693FF6"/>
    <w:rsid w:val="786D0058"/>
    <w:rsid w:val="787222E6"/>
    <w:rsid w:val="78753951"/>
    <w:rsid w:val="78767001"/>
    <w:rsid w:val="78947487"/>
    <w:rsid w:val="789D458E"/>
    <w:rsid w:val="78A771BA"/>
    <w:rsid w:val="78AC487D"/>
    <w:rsid w:val="78C5383A"/>
    <w:rsid w:val="78CB3D3E"/>
    <w:rsid w:val="78D06373"/>
    <w:rsid w:val="78D75C24"/>
    <w:rsid w:val="78E55958"/>
    <w:rsid w:val="78EB3337"/>
    <w:rsid w:val="78EF16EA"/>
    <w:rsid w:val="790073DA"/>
    <w:rsid w:val="790609F0"/>
    <w:rsid w:val="790A658D"/>
    <w:rsid w:val="792A3948"/>
    <w:rsid w:val="794C13B1"/>
    <w:rsid w:val="794D10FB"/>
    <w:rsid w:val="795E2CD5"/>
    <w:rsid w:val="79662F2F"/>
    <w:rsid w:val="79687811"/>
    <w:rsid w:val="797D759C"/>
    <w:rsid w:val="797D7F1B"/>
    <w:rsid w:val="799E3CDC"/>
    <w:rsid w:val="79A24191"/>
    <w:rsid w:val="79A454DE"/>
    <w:rsid w:val="79A614AB"/>
    <w:rsid w:val="79CD397D"/>
    <w:rsid w:val="79E924E8"/>
    <w:rsid w:val="7A0C2CC5"/>
    <w:rsid w:val="7A1F6341"/>
    <w:rsid w:val="7A2061C0"/>
    <w:rsid w:val="7A396538"/>
    <w:rsid w:val="7A3E6E93"/>
    <w:rsid w:val="7A440FCE"/>
    <w:rsid w:val="7A4601A0"/>
    <w:rsid w:val="7A4773F3"/>
    <w:rsid w:val="7A644541"/>
    <w:rsid w:val="7A65132B"/>
    <w:rsid w:val="7A804167"/>
    <w:rsid w:val="7AA117BE"/>
    <w:rsid w:val="7AA250FE"/>
    <w:rsid w:val="7AA27D23"/>
    <w:rsid w:val="7AA62455"/>
    <w:rsid w:val="7AB60FB7"/>
    <w:rsid w:val="7AC51B7A"/>
    <w:rsid w:val="7ADF0C11"/>
    <w:rsid w:val="7AF214BD"/>
    <w:rsid w:val="7B1F37B5"/>
    <w:rsid w:val="7B242240"/>
    <w:rsid w:val="7B354389"/>
    <w:rsid w:val="7B57638E"/>
    <w:rsid w:val="7B590596"/>
    <w:rsid w:val="7B642F91"/>
    <w:rsid w:val="7B683283"/>
    <w:rsid w:val="7B6A3EEE"/>
    <w:rsid w:val="7B794B8B"/>
    <w:rsid w:val="7B7A0E53"/>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A0B34"/>
    <w:rsid w:val="7C6043DA"/>
    <w:rsid w:val="7C66113B"/>
    <w:rsid w:val="7C6D7873"/>
    <w:rsid w:val="7C703D67"/>
    <w:rsid w:val="7C8E38A3"/>
    <w:rsid w:val="7C8F1F7D"/>
    <w:rsid w:val="7C997BBF"/>
    <w:rsid w:val="7CC11B23"/>
    <w:rsid w:val="7CD46ADE"/>
    <w:rsid w:val="7CEC7123"/>
    <w:rsid w:val="7CEE4420"/>
    <w:rsid w:val="7CF629D9"/>
    <w:rsid w:val="7D091BB4"/>
    <w:rsid w:val="7D364589"/>
    <w:rsid w:val="7D511DEB"/>
    <w:rsid w:val="7D5E522E"/>
    <w:rsid w:val="7D823D52"/>
    <w:rsid w:val="7DA4016C"/>
    <w:rsid w:val="7DB163E5"/>
    <w:rsid w:val="7DCC321F"/>
    <w:rsid w:val="7DDC7906"/>
    <w:rsid w:val="7DE21B86"/>
    <w:rsid w:val="7DEF684F"/>
    <w:rsid w:val="7DF00B43"/>
    <w:rsid w:val="7E123328"/>
    <w:rsid w:val="7E503E50"/>
    <w:rsid w:val="7E7A3F89"/>
    <w:rsid w:val="7E806AAD"/>
    <w:rsid w:val="7E862216"/>
    <w:rsid w:val="7E8F22EA"/>
    <w:rsid w:val="7E906943"/>
    <w:rsid w:val="7E984F6A"/>
    <w:rsid w:val="7EA335E7"/>
    <w:rsid w:val="7EB51DE9"/>
    <w:rsid w:val="7EC21F19"/>
    <w:rsid w:val="7ECC0CF3"/>
    <w:rsid w:val="7EE10C7A"/>
    <w:rsid w:val="7EF77415"/>
    <w:rsid w:val="7F0C2F67"/>
    <w:rsid w:val="7F1205F3"/>
    <w:rsid w:val="7F1F76EA"/>
    <w:rsid w:val="7F3E578D"/>
    <w:rsid w:val="7F3F2127"/>
    <w:rsid w:val="7F511C2E"/>
    <w:rsid w:val="7F547171"/>
    <w:rsid w:val="7F6B574A"/>
    <w:rsid w:val="7F6F2C44"/>
    <w:rsid w:val="7F7846EA"/>
    <w:rsid w:val="7F8244DD"/>
    <w:rsid w:val="7F82628B"/>
    <w:rsid w:val="7F831D8B"/>
    <w:rsid w:val="7F8D7E04"/>
    <w:rsid w:val="7F8F261D"/>
    <w:rsid w:val="7F9B62E2"/>
    <w:rsid w:val="7FB84310"/>
    <w:rsid w:val="7FD02953"/>
    <w:rsid w:val="7FE630F3"/>
    <w:rsid w:val="7FE8498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4">
    <w:name w:val="heading 1"/>
    <w:basedOn w:val="1"/>
    <w:next w:val="1"/>
    <w:link w:val="31"/>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7">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样式35"/>
    <w:basedOn w:val="1"/>
    <w:next w:val="1"/>
    <w:qFormat/>
    <w:uiPriority w:val="0"/>
    <w:pPr>
      <w:adjustRightInd w:val="0"/>
      <w:snapToGrid w:val="0"/>
      <w:spacing w:line="312" w:lineRule="auto"/>
      <w:ind w:firstLine="567" w:firstLineChars="200"/>
    </w:pPr>
    <w:rPr>
      <w:rFonts w:ascii="宋体" w:hAnsi="Times New Roman" w:eastAsia="宋体" w:cs="Times New Roman"/>
      <w:sz w:val="28"/>
      <w:szCs w:val="24"/>
    </w:rPr>
  </w:style>
  <w:style w:type="paragraph" w:styleId="8">
    <w:name w:val="Note Heading"/>
    <w:basedOn w:val="1"/>
    <w:next w:val="1"/>
    <w:qFormat/>
    <w:uiPriority w:val="0"/>
    <w:pPr>
      <w:jc w:val="center"/>
    </w:pPr>
  </w:style>
  <w:style w:type="paragraph" w:styleId="9">
    <w:name w:val="Normal Indent"/>
    <w:basedOn w:val="1"/>
    <w:next w:val="1"/>
    <w:qFormat/>
    <w:uiPriority w:val="0"/>
    <w:rPr>
      <w:kern w:val="2"/>
      <w:sz w:val="28"/>
    </w:rPr>
  </w:style>
  <w:style w:type="paragraph" w:styleId="10">
    <w:name w:val="annotation text"/>
    <w:basedOn w:val="1"/>
    <w:qFormat/>
    <w:uiPriority w:val="0"/>
    <w:pPr>
      <w:jc w:val="left"/>
    </w:pPr>
  </w:style>
  <w:style w:type="paragraph" w:styleId="11">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2">
    <w:name w:val="Body Text Indent"/>
    <w:basedOn w:val="1"/>
    <w:next w:val="11"/>
    <w:qFormat/>
    <w:uiPriority w:val="0"/>
    <w:pPr>
      <w:spacing w:after="120"/>
      <w:ind w:left="420" w:leftChars="200"/>
    </w:pPr>
    <w:rPr>
      <w:kern w:val="0"/>
      <w:sz w:val="24"/>
      <w:szCs w:val="20"/>
    </w:rPr>
  </w:style>
  <w:style w:type="paragraph" w:styleId="13">
    <w:name w:val="footer"/>
    <w:basedOn w:val="1"/>
    <w:qFormat/>
    <w:uiPriority w:val="0"/>
    <w:pPr>
      <w:tabs>
        <w:tab w:val="center" w:pos="4153"/>
        <w:tab w:val="right" w:pos="8306"/>
      </w:tabs>
    </w:pPr>
    <w:rPr>
      <w:rFonts w:ascii="Tahoma" w:hAnsi="Tahoma"/>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6">
    <w:name w:val="Body Text First Indent 2"/>
    <w:basedOn w:val="1"/>
    <w:next w:val="1"/>
    <w:qFormat/>
    <w:uiPriority w:val="0"/>
    <w:pPr>
      <w:spacing w:after="120"/>
      <w:ind w:left="420" w:leftChars="200" w:firstLine="420"/>
    </w:pPr>
    <w:rPr>
      <w:rFonts w:ascii="Times New Roman" w:hAnsi="Times New Roman" w:eastAsia="宋体"/>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annotation reference"/>
    <w:semiHidden/>
    <w:qFormat/>
    <w:uiPriority w:val="0"/>
    <w:rPr>
      <w:sz w:val="21"/>
    </w:rPr>
  </w:style>
  <w:style w:type="paragraph" w:customStyle="1" w:styleId="22">
    <w:name w:val="Table Paragraph"/>
    <w:basedOn w:val="1"/>
    <w:qFormat/>
    <w:uiPriority w:val="1"/>
    <w:pPr>
      <w:jc w:val="center"/>
    </w:pPr>
    <w:rPr>
      <w:rFonts w:ascii="宋体" w:hAnsi="宋体" w:eastAsia="宋体" w:cs="宋体"/>
      <w:lang w:val="zh-CN" w:eastAsia="zh-CN" w:bidi="zh-CN"/>
    </w:rPr>
  </w:style>
  <w:style w:type="paragraph" w:customStyle="1" w:styleId="23">
    <w:name w:val="我的表格文字"/>
    <w:basedOn w:val="1"/>
    <w:qFormat/>
    <w:uiPriority w:val="0"/>
    <w:pPr>
      <w:jc w:val="center"/>
    </w:pPr>
    <w:rPr>
      <w:rFonts w:hAnsi="宋体" w:eastAsia="Times New Roman" w:cs="宋体"/>
      <w:color w:val="000000"/>
      <w:szCs w:val="21"/>
    </w:rPr>
  </w:style>
  <w:style w:type="character" w:customStyle="1" w:styleId="24">
    <w:name w:val="报告表正文 Char1"/>
    <w:qFormat/>
    <w:uiPriority w:val="0"/>
    <w:rPr>
      <w:rFonts w:eastAsia="楷体_GB2312"/>
      <w:kern w:val="2"/>
      <w:sz w:val="24"/>
      <w:szCs w:val="24"/>
      <w:lang w:val="en-US" w:eastAsia="zh-CN" w:bidi="ar-SA"/>
    </w:rPr>
  </w:style>
  <w:style w:type="paragraph" w:customStyle="1" w:styleId="25">
    <w:name w:val="中文报告书样式"/>
    <w:basedOn w:val="1"/>
    <w:qFormat/>
    <w:uiPriority w:val="0"/>
    <w:pPr>
      <w:adjustRightInd w:val="0"/>
      <w:spacing w:line="480" w:lineRule="atLeast"/>
      <w:ind w:firstLine="482"/>
      <w:textAlignment w:val="baseline"/>
    </w:pPr>
    <w:rPr>
      <w:kern w:val="24"/>
      <w:sz w:val="24"/>
    </w:rPr>
  </w:style>
  <w:style w:type="paragraph" w:customStyle="1" w:styleId="26">
    <w:name w:val="p0"/>
    <w:basedOn w:val="1"/>
    <w:qFormat/>
    <w:uiPriority w:val="0"/>
    <w:pPr>
      <w:widowControl/>
    </w:pPr>
    <w:rPr>
      <w:rFonts w:hint="eastAsia"/>
    </w:rPr>
  </w:style>
  <w:style w:type="paragraph" w:customStyle="1" w:styleId="2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8">
    <w:name w:val="font21"/>
    <w:basedOn w:val="19"/>
    <w:qFormat/>
    <w:uiPriority w:val="0"/>
    <w:rPr>
      <w:rFonts w:hint="eastAsia" w:ascii="宋体" w:hAnsi="宋体" w:eastAsia="宋体" w:cs="宋体"/>
      <w:color w:val="000000"/>
      <w:sz w:val="24"/>
      <w:szCs w:val="24"/>
      <w:u w:val="none"/>
    </w:rPr>
  </w:style>
  <w:style w:type="character" w:customStyle="1" w:styleId="29">
    <w:name w:val="font31"/>
    <w:basedOn w:val="19"/>
    <w:qFormat/>
    <w:uiPriority w:val="0"/>
    <w:rPr>
      <w:rFonts w:hint="eastAsia" w:ascii="宋体" w:hAnsi="宋体" w:eastAsia="宋体" w:cs="宋体"/>
      <w:color w:val="000000"/>
      <w:sz w:val="22"/>
      <w:szCs w:val="22"/>
      <w:u w:val="none"/>
    </w:rPr>
  </w:style>
  <w:style w:type="paragraph" w:customStyle="1" w:styleId="30">
    <w:name w:val="三同时样式"/>
    <w:basedOn w:val="1"/>
    <w:qFormat/>
    <w:uiPriority w:val="0"/>
    <w:pPr>
      <w:spacing w:line="240" w:lineRule="auto"/>
      <w:ind w:firstLine="0" w:firstLineChars="0"/>
      <w:jc w:val="center"/>
    </w:pPr>
    <w:rPr>
      <w:b/>
      <w:sz w:val="18"/>
      <w:szCs w:val="18"/>
    </w:rPr>
  </w:style>
  <w:style w:type="character" w:customStyle="1" w:styleId="31">
    <w:name w:val="标题 1 Char"/>
    <w:link w:val="4"/>
    <w:qFormat/>
    <w:uiPriority w:val="0"/>
    <w:rPr>
      <w:b/>
      <w:kern w:val="44"/>
      <w:sz w:val="28"/>
    </w:rPr>
  </w:style>
  <w:style w:type="paragraph" w:customStyle="1" w:styleId="32">
    <w:name w:val="列表段落"/>
    <w:basedOn w:val="1"/>
    <w:qFormat/>
    <w:uiPriority w:val="0"/>
    <w:pPr>
      <w:ind w:firstLine="420" w:firstLineChars="200"/>
    </w:pPr>
    <w:rPr>
      <w:rFonts w:ascii="Calibri" w:hAnsi="Calibri" w:eastAsia="宋体" w:cs="宋体"/>
      <w:szCs w:val="21"/>
    </w:rPr>
  </w:style>
  <w:style w:type="character" w:customStyle="1" w:styleId="33">
    <w:name w:val="17"/>
    <w:basedOn w:val="19"/>
    <w:qFormat/>
    <w:uiPriority w:val="0"/>
    <w:rPr>
      <w:rFonts w:hint="default" w:ascii="Times New Roman" w:hAnsi="Times New Roman" w:cs="Times New Roman"/>
      <w:color w:val="000000"/>
      <w:sz w:val="22"/>
      <w:szCs w:val="22"/>
      <w:vertAlign w:val="superscript"/>
    </w:rPr>
  </w:style>
  <w:style w:type="paragraph" w:customStyle="1" w:styleId="34">
    <w:name w:val=" Char Char1 Char"/>
    <w:basedOn w:val="1"/>
    <w:qFormat/>
    <w:uiPriority w:val="0"/>
    <w:pPr>
      <w:spacing w:line="360" w:lineRule="auto"/>
      <w:ind w:firstLine="200" w:firstLineChars="200"/>
    </w:pPr>
    <w:rPr>
      <w:rFonts w:ascii="宋体" w:hAnsi="宋体" w:cs="宋体"/>
      <w:szCs w:val="24"/>
    </w:rPr>
  </w:style>
  <w:style w:type="paragraph" w:customStyle="1" w:styleId="35">
    <w:name w:val="表格"/>
    <w:basedOn w:val="1"/>
    <w:qFormat/>
    <w:uiPriority w:val="0"/>
    <w:pPr>
      <w:keepNext/>
      <w:adjustRightInd w:val="0"/>
      <w:spacing w:line="312" w:lineRule="atLeast"/>
      <w:jc w:val="center"/>
      <w:textAlignment w:val="baseline"/>
    </w:pPr>
    <w:rPr>
      <w:kern w:val="0"/>
    </w:rPr>
  </w:style>
  <w:style w:type="character" w:customStyle="1" w:styleId="36">
    <w:name w:val="15"/>
    <w:basedOn w:val="19"/>
    <w:qFormat/>
    <w:uiPriority w:val="0"/>
    <w:rPr>
      <w:rFonts w:hint="eastAsia" w:ascii="宋体" w:hAnsi="宋体" w:eastAsia="宋体" w:cs="宋体"/>
      <w:color w:val="000000"/>
      <w:sz w:val="20"/>
      <w:szCs w:val="20"/>
    </w:rPr>
  </w:style>
  <w:style w:type="character" w:customStyle="1" w:styleId="37">
    <w:name w:val="16"/>
    <w:basedOn w:val="19"/>
    <w:qFormat/>
    <w:uiPriority w:val="0"/>
    <w:rPr>
      <w:rFonts w:hint="default" w:ascii="Times New Roman" w:hAnsi="Times New Roman" w:cs="Times New Roman"/>
      <w:color w:val="000000"/>
      <w:sz w:val="20"/>
      <w:szCs w:val="20"/>
    </w:rPr>
  </w:style>
  <w:style w:type="character" w:customStyle="1" w:styleId="38">
    <w:name w:val="18"/>
    <w:basedOn w:val="19"/>
    <w:qFormat/>
    <w:uiPriority w:val="0"/>
    <w:rPr>
      <w:rFonts w:hint="default" w:ascii="Times New Roman" w:hAnsi="Times New Roman" w:cs="Times New Roman"/>
      <w:color w:val="000000"/>
      <w:sz w:val="20"/>
      <w:szCs w:val="20"/>
    </w:rPr>
  </w:style>
  <w:style w:type="character" w:customStyle="1" w:styleId="39">
    <w:name w:val="21"/>
    <w:basedOn w:val="19"/>
    <w:qFormat/>
    <w:uiPriority w:val="0"/>
    <w:rPr>
      <w:rFonts w:hint="default" w:ascii="Times New Roman" w:hAnsi="Times New Roman" w:cs="Times New Roman"/>
      <w:color w:val="000000"/>
      <w:sz w:val="21"/>
      <w:szCs w:val="21"/>
    </w:rPr>
  </w:style>
  <w:style w:type="character" w:customStyle="1" w:styleId="40">
    <w:name w:val="19"/>
    <w:basedOn w:val="19"/>
    <w:qFormat/>
    <w:uiPriority w:val="0"/>
    <w:rPr>
      <w:rFonts w:hint="default" w:ascii="Times New Roman" w:hAnsi="Times New Roman" w:cs="Times New Roman"/>
      <w:color w:val="000000"/>
      <w:sz w:val="20"/>
      <w:szCs w:val="20"/>
    </w:rPr>
  </w:style>
  <w:style w:type="paragraph" w:customStyle="1" w:styleId="41">
    <w:name w:val="表内格式"/>
    <w:basedOn w:val="1"/>
    <w:qFormat/>
    <w:uiPriority w:val="0"/>
    <w:pPr>
      <w:spacing w:line="240" w:lineRule="exact"/>
      <w:jc w:val="center"/>
    </w:pPr>
    <w:rPr>
      <w:rFonts w:ascii="宋体" w:hAnsi="宋体"/>
      <w:sz w:val="21"/>
    </w:rPr>
  </w:style>
  <w:style w:type="paragraph" w:customStyle="1" w:styleId="4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3">
    <w:name w:val="正文1"/>
    <w:basedOn w:val="1"/>
    <w:qFormat/>
    <w:uiPriority w:val="0"/>
    <w:pPr>
      <w:ind w:firstLine="552"/>
    </w:pPr>
    <w:rPr>
      <w:rFonts w:ascii="楷体_GB2312" w:eastAsia="楷体_GB2312"/>
      <w:b/>
    </w:rPr>
  </w:style>
  <w:style w:type="paragraph" w:customStyle="1" w:styleId="44">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9453</Words>
  <Characters>11302</Characters>
  <Lines>0</Lines>
  <Paragraphs>0</Paragraphs>
  <TotalTime>2</TotalTime>
  <ScaleCrop>false</ScaleCrop>
  <LinksUpToDate>false</LinksUpToDate>
  <CharactersWithSpaces>11571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2022-09-03T03:23:00Z</cp:lastPrinted>
  <dcterms:modified xsi:type="dcterms:W3CDTF">2023-01-12T08:22:02Z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D8931FA75FA64538A86FDC1E1B357EA2</vt:lpwstr>
  </property>
</Properties>
</file>