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tabs>
          <w:tab w:val="right" w:leader="dot" w:pos="8306"/>
        </w:tabs>
        <w:jc w:val="center"/>
        <w:rPr>
          <w:rFonts w:cs="Times New Roman"/>
          <w:sz w:val="44"/>
          <w:szCs w:val="44"/>
        </w:rPr>
      </w:pPr>
      <w:bookmarkStart w:id="0" w:name="_Toc11530"/>
      <w:bookmarkStart w:id="1" w:name="_Toc30412"/>
      <w:bookmarkStart w:id="2" w:name="_Toc13127"/>
      <w:bookmarkStart w:id="3" w:name="_Toc4819"/>
      <w:bookmarkStart w:id="4" w:name="_Toc27447"/>
    </w:p>
    <w:p>
      <w:pPr>
        <w:pStyle w:val="17"/>
        <w:tabs>
          <w:tab w:val="right" w:leader="dot" w:pos="8306"/>
        </w:tabs>
        <w:jc w:val="center"/>
        <w:rPr>
          <w:rFonts w:cs="Times New Roman"/>
          <w:sz w:val="44"/>
          <w:szCs w:val="44"/>
        </w:rPr>
      </w:pPr>
    </w:p>
    <w:p>
      <w:pPr>
        <w:pStyle w:val="17"/>
        <w:tabs>
          <w:tab w:val="right" w:leader="dot" w:pos="8306"/>
        </w:tabs>
        <w:spacing w:line="360" w:lineRule="auto"/>
        <w:ind w:firstLine="0" w:firstLineChars="0"/>
        <w:jc w:val="center"/>
        <w:rPr>
          <w:rFonts w:hint="default" w:cs="Times New Roman"/>
          <w:bCs/>
          <w:sz w:val="44"/>
          <w:szCs w:val="44"/>
        </w:rPr>
      </w:pPr>
      <w:r>
        <w:rPr>
          <w:rFonts w:hint="default" w:cs="Times New Roman"/>
          <w:bCs/>
          <w:sz w:val="44"/>
          <w:szCs w:val="44"/>
        </w:rPr>
        <w:t>纽科伦（新乡）起重机有限公司</w:t>
      </w:r>
    </w:p>
    <w:p>
      <w:pPr>
        <w:pStyle w:val="17"/>
        <w:tabs>
          <w:tab w:val="right" w:leader="dot" w:pos="8306"/>
        </w:tabs>
        <w:spacing w:line="360" w:lineRule="auto"/>
        <w:ind w:firstLine="0" w:firstLineChars="0"/>
        <w:jc w:val="center"/>
        <w:rPr>
          <w:rFonts w:hint="default" w:cs="Times New Roman"/>
          <w:bCs/>
          <w:sz w:val="44"/>
          <w:szCs w:val="44"/>
        </w:rPr>
      </w:pPr>
      <w:r>
        <w:rPr>
          <w:rFonts w:hint="default" w:cs="Times New Roman"/>
          <w:bCs/>
          <w:sz w:val="44"/>
          <w:szCs w:val="44"/>
        </w:rPr>
        <w:t>年产2万台起重机、100台立体车库、</w:t>
      </w:r>
    </w:p>
    <w:p>
      <w:pPr>
        <w:pStyle w:val="17"/>
        <w:tabs>
          <w:tab w:val="right" w:leader="dot" w:pos="8306"/>
        </w:tabs>
        <w:spacing w:line="360" w:lineRule="auto"/>
        <w:ind w:firstLine="0" w:firstLineChars="0"/>
        <w:jc w:val="center"/>
        <w:rPr>
          <w:rFonts w:hint="default" w:cs="Times New Roman"/>
          <w:bCs/>
          <w:sz w:val="44"/>
          <w:szCs w:val="44"/>
        </w:rPr>
      </w:pPr>
      <w:r>
        <w:rPr>
          <w:rFonts w:hint="default" w:cs="Times New Roman"/>
          <w:bCs/>
          <w:sz w:val="44"/>
          <w:szCs w:val="44"/>
        </w:rPr>
        <w:t>3万台电动葫芦及配件项目</w:t>
      </w:r>
    </w:p>
    <w:p>
      <w:pPr>
        <w:pStyle w:val="17"/>
        <w:tabs>
          <w:tab w:val="right" w:leader="dot" w:pos="8306"/>
        </w:tabs>
        <w:spacing w:line="360" w:lineRule="auto"/>
        <w:ind w:firstLine="0" w:firstLineChars="0"/>
        <w:jc w:val="center"/>
        <w:rPr>
          <w:rFonts w:cs="Times New Roman"/>
          <w:bCs/>
          <w:sz w:val="44"/>
          <w:szCs w:val="44"/>
        </w:rPr>
      </w:pPr>
      <w:r>
        <w:rPr>
          <w:rFonts w:cs="Times New Roman"/>
          <w:bCs/>
          <w:sz w:val="44"/>
          <w:szCs w:val="44"/>
        </w:rPr>
        <w:t>竣工环境保护验收监测报告</w:t>
      </w:r>
      <w:r>
        <w:rPr>
          <w:rFonts w:hint="eastAsia" w:cs="Times New Roman"/>
          <w:bCs/>
          <w:sz w:val="44"/>
          <w:szCs w:val="44"/>
        </w:rPr>
        <w:t>表</w:t>
      </w: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rPr>
          <w:rFonts w:cs="Times New Roman"/>
          <w:b/>
          <w:bCs/>
          <w:sz w:val="44"/>
          <w:szCs w:val="44"/>
        </w:rPr>
      </w:pPr>
    </w:p>
    <w:p>
      <w:pPr>
        <w:spacing w:line="600" w:lineRule="auto"/>
        <w:ind w:firstLine="560"/>
        <w:jc w:val="center"/>
        <w:rPr>
          <w:rFonts w:hint="default" w:cs="Times New Roman"/>
          <w:sz w:val="28"/>
          <w:szCs w:val="28"/>
          <w:lang w:val="en-US" w:eastAsia="zh-CN"/>
        </w:rPr>
      </w:pPr>
      <w:r>
        <w:rPr>
          <w:rFonts w:cs="Times New Roman"/>
          <w:sz w:val="28"/>
          <w:szCs w:val="28"/>
        </w:rPr>
        <w:t>建设单位：</w:t>
      </w:r>
      <w:r>
        <w:rPr>
          <w:rFonts w:hint="default" w:cs="Times New Roman"/>
          <w:sz w:val="28"/>
          <w:szCs w:val="28"/>
          <w:lang w:val="en-US" w:eastAsia="zh-CN"/>
        </w:rPr>
        <w:t>纽科伦（新乡）起重机有限公司</w:t>
      </w:r>
    </w:p>
    <w:p>
      <w:pPr>
        <w:spacing w:line="600" w:lineRule="auto"/>
        <w:ind w:firstLine="560"/>
        <w:jc w:val="center"/>
        <w:rPr>
          <w:rFonts w:hint="eastAsia" w:cs="Times New Roman"/>
          <w:sz w:val="28"/>
          <w:szCs w:val="28"/>
        </w:rPr>
      </w:pPr>
      <w:r>
        <w:rPr>
          <w:rFonts w:cs="Times New Roman"/>
          <w:sz w:val="28"/>
          <w:szCs w:val="28"/>
        </w:rPr>
        <w:t>编制单位：</w:t>
      </w:r>
      <w:r>
        <w:rPr>
          <w:rFonts w:hint="default" w:cs="Times New Roman"/>
          <w:sz w:val="28"/>
          <w:szCs w:val="28"/>
          <w:lang w:val="en-US" w:eastAsia="zh-CN"/>
        </w:rPr>
        <w:t>纽科伦（新乡）起重机有限公司</w:t>
      </w:r>
    </w:p>
    <w:p>
      <w:pPr>
        <w:tabs>
          <w:tab w:val="left" w:pos="1289"/>
        </w:tabs>
        <w:ind w:firstLine="560"/>
        <w:jc w:val="center"/>
        <w:rPr>
          <w:rFonts w:cs="Times New Roman"/>
          <w:sz w:val="28"/>
          <w:szCs w:val="28"/>
        </w:rPr>
      </w:pPr>
    </w:p>
    <w:p>
      <w:pPr>
        <w:tabs>
          <w:tab w:val="left" w:pos="1289"/>
        </w:tabs>
        <w:ind w:firstLine="560"/>
        <w:jc w:val="center"/>
        <w:rPr>
          <w:rFonts w:cs="Times New Roman"/>
          <w:sz w:val="28"/>
          <w:szCs w:val="28"/>
        </w:rPr>
      </w:pPr>
      <w:r>
        <w:rPr>
          <w:rFonts w:hint="eastAsia" w:cs="Times New Roman"/>
          <w:sz w:val="28"/>
          <w:szCs w:val="28"/>
          <w:lang w:val="en-US" w:eastAsia="zh-CN"/>
        </w:rPr>
        <w:t>2023</w:t>
      </w:r>
      <w:r>
        <w:rPr>
          <w:rFonts w:cs="Times New Roman"/>
          <w:sz w:val="28"/>
          <w:szCs w:val="28"/>
        </w:rPr>
        <w:t>年</w:t>
      </w:r>
      <w:r>
        <w:rPr>
          <w:rFonts w:hint="eastAsia" w:cs="Times New Roman"/>
          <w:sz w:val="28"/>
          <w:szCs w:val="28"/>
          <w:lang w:val="en-US" w:eastAsia="zh-CN"/>
        </w:rPr>
        <w:t>04</w:t>
      </w:r>
      <w:r>
        <w:rPr>
          <w:rFonts w:cs="Times New Roman"/>
          <w:sz w:val="28"/>
          <w:szCs w:val="28"/>
        </w:rPr>
        <w:t>月</w:t>
      </w:r>
    </w:p>
    <w:p>
      <w:pPr>
        <w:spacing w:line="600" w:lineRule="auto"/>
        <w:ind w:firstLine="560"/>
        <w:jc w:val="both"/>
        <w:rPr>
          <w:rFonts w:cs="Times New Roman"/>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ind w:firstLine="0" w:firstLineChars="0"/>
        <w:rPr>
          <w:rFonts w:hint="default"/>
          <w:sz w:val="28"/>
          <w:szCs w:val="28"/>
          <w:lang w:val="en-US" w:eastAsia="zh-CN"/>
        </w:rPr>
      </w:pPr>
      <w:bookmarkStart w:id="5" w:name="_Hlk17206491"/>
      <w:r>
        <w:rPr>
          <w:rFonts w:hint="default"/>
          <w:sz w:val="28"/>
          <w:szCs w:val="28"/>
          <w:lang w:val="en-US" w:eastAsia="zh-CN"/>
        </w:rPr>
        <w:t>建设单位：纽科伦（新乡）起重机有限公司</w:t>
      </w:r>
    </w:p>
    <w:p>
      <w:pPr>
        <w:ind w:firstLine="0" w:firstLineChars="0"/>
        <w:rPr>
          <w:rFonts w:hint="default"/>
          <w:sz w:val="28"/>
          <w:szCs w:val="28"/>
          <w:lang w:val="en-US" w:eastAsia="zh-CN"/>
        </w:rPr>
      </w:pPr>
      <w:r>
        <w:rPr>
          <w:rFonts w:hint="default"/>
          <w:sz w:val="28"/>
          <w:szCs w:val="28"/>
          <w:lang w:val="en-US" w:eastAsia="zh-CN"/>
        </w:rPr>
        <w:t>法人代表：</w:t>
      </w:r>
      <w:r>
        <w:rPr>
          <w:rFonts w:hint="eastAsia"/>
          <w:sz w:val="28"/>
          <w:szCs w:val="28"/>
          <w:lang w:val="en-US" w:eastAsia="zh-CN"/>
        </w:rPr>
        <w:t>金庆好</w:t>
      </w:r>
    </w:p>
    <w:p>
      <w:pPr>
        <w:ind w:firstLine="0" w:firstLineChars="0"/>
        <w:rPr>
          <w:rFonts w:hint="default"/>
          <w:sz w:val="28"/>
          <w:szCs w:val="28"/>
          <w:lang w:val="en-US" w:eastAsia="zh-CN"/>
        </w:rPr>
      </w:pPr>
      <w:r>
        <w:rPr>
          <w:rFonts w:hint="default"/>
          <w:sz w:val="28"/>
          <w:szCs w:val="28"/>
          <w:lang w:val="en-US" w:eastAsia="zh-CN"/>
        </w:rPr>
        <w:t>联系方式：15225933767</w:t>
      </w:r>
    </w:p>
    <w:p>
      <w:pPr>
        <w:ind w:firstLine="0" w:firstLineChars="0"/>
        <w:rPr>
          <w:rFonts w:hint="default"/>
          <w:sz w:val="28"/>
          <w:szCs w:val="28"/>
          <w:lang w:val="en-US" w:eastAsia="zh-CN"/>
        </w:rPr>
      </w:pPr>
      <w:r>
        <w:rPr>
          <w:rFonts w:hint="default"/>
          <w:sz w:val="28"/>
          <w:szCs w:val="28"/>
          <w:lang w:val="en-US" w:eastAsia="zh-CN"/>
        </w:rPr>
        <w:t>地    址：长垣市河南起重机工业园区巨人大道</w:t>
      </w:r>
    </w:p>
    <w:p>
      <w:pPr>
        <w:ind w:firstLine="0" w:firstLineChars="0"/>
      </w:pPr>
    </w:p>
    <w:p>
      <w:pPr>
        <w:pStyle w:val="2"/>
        <w:spacing w:before="156" w:after="156"/>
      </w:pPr>
    </w:p>
    <w:p>
      <w:pPr>
        <w:ind w:firstLine="480"/>
        <w:rPr>
          <w:color w:val="auto"/>
        </w:rPr>
      </w:pPr>
    </w:p>
    <w:bookmarkEnd w:id="5"/>
    <w:p>
      <w:pPr>
        <w:snapToGrid w:val="0"/>
        <w:spacing w:line="480" w:lineRule="auto"/>
        <w:ind w:firstLine="0" w:firstLineChars="0"/>
        <w:rPr>
          <w:rFonts w:hint="default" w:cs="Times New Roman" w:eastAsiaTheme="minorEastAsia"/>
          <w:b w:val="0"/>
          <w:bCs w:val="0"/>
          <w:color w:val="auto"/>
          <w:kern w:val="2"/>
          <w:sz w:val="28"/>
          <w:szCs w:val="28"/>
          <w:lang w:val="en-US" w:eastAsia="zh-CN"/>
        </w:rPr>
      </w:pPr>
      <w:r>
        <w:rPr>
          <w:rFonts w:hint="eastAsia" w:cs="Times New Roman"/>
          <w:color w:val="auto"/>
          <w:sz w:val="28"/>
          <w:szCs w:val="28"/>
        </w:rPr>
        <w:t>监测单位：</w:t>
      </w:r>
      <w:r>
        <w:rPr>
          <w:rFonts w:hint="eastAsia" w:cs="Times New Roman"/>
          <w:b w:val="0"/>
          <w:bCs w:val="0"/>
          <w:color w:val="auto"/>
          <w:kern w:val="2"/>
          <w:sz w:val="28"/>
          <w:szCs w:val="28"/>
          <w:lang w:val="en-US" w:eastAsia="zh-CN"/>
        </w:rPr>
        <w:t>河南嘉森环境检测服务有限公司</w:t>
      </w:r>
    </w:p>
    <w:p>
      <w:pPr>
        <w:snapToGrid w:val="0"/>
        <w:spacing w:line="480" w:lineRule="auto"/>
        <w:ind w:firstLine="0" w:firstLineChars="0"/>
        <w:rPr>
          <w:rFonts w:hint="default"/>
          <w:color w:val="auto"/>
          <w:sz w:val="28"/>
          <w:szCs w:val="28"/>
          <w:lang w:val="en-US"/>
        </w:rPr>
      </w:pPr>
      <w:r>
        <w:rPr>
          <w:rFonts w:hint="eastAsia"/>
          <w:color w:val="auto"/>
          <w:sz w:val="28"/>
          <w:szCs w:val="28"/>
        </w:rPr>
        <w:t>法人代表：</w:t>
      </w:r>
      <w:r>
        <w:rPr>
          <w:rFonts w:hint="eastAsia" w:cs="Times New Roman"/>
          <w:b w:val="0"/>
          <w:bCs w:val="0"/>
          <w:color w:val="auto"/>
          <w:kern w:val="2"/>
          <w:sz w:val="28"/>
          <w:szCs w:val="28"/>
          <w:lang w:val="en-US" w:eastAsia="zh-CN"/>
        </w:rPr>
        <w:t>李晓兵</w:t>
      </w:r>
    </w:p>
    <w:p>
      <w:pPr>
        <w:snapToGrid w:val="0"/>
        <w:spacing w:line="480" w:lineRule="auto"/>
        <w:ind w:firstLine="0" w:firstLineChars="0"/>
        <w:rPr>
          <w:rFonts w:cs="Times New Roman"/>
          <w:color w:val="auto"/>
          <w:sz w:val="28"/>
          <w:szCs w:val="28"/>
        </w:rPr>
      </w:pPr>
      <w:r>
        <w:rPr>
          <w:rFonts w:hint="eastAsia" w:cs="Times New Roman"/>
          <w:color w:val="auto"/>
          <w:sz w:val="28"/>
          <w:szCs w:val="28"/>
        </w:rPr>
        <w:t>联系方式：</w:t>
      </w:r>
      <w:r>
        <w:rPr>
          <w:rFonts w:hint="eastAsia" w:cs="Times New Roman" w:eastAsiaTheme="minorEastAsia"/>
          <w:b w:val="0"/>
          <w:bCs w:val="0"/>
          <w:color w:val="000000" w:themeColor="text1"/>
          <w:kern w:val="2"/>
          <w:sz w:val="28"/>
          <w:szCs w:val="28"/>
          <w:lang w:val="en-US" w:eastAsia="zh-CN"/>
          <w14:textFill>
            <w14:solidFill>
              <w14:schemeClr w14:val="tx1"/>
            </w14:solidFill>
          </w14:textFill>
        </w:rPr>
        <w:t>0375-5589792</w:t>
      </w:r>
    </w:p>
    <w:p>
      <w:pPr>
        <w:snapToGrid w:val="0"/>
        <w:spacing w:line="480" w:lineRule="auto"/>
        <w:ind w:firstLine="0" w:firstLineChars="0"/>
        <w:rPr>
          <w:rFonts w:cs="Times New Roman"/>
          <w:sz w:val="28"/>
          <w:szCs w:val="28"/>
        </w:rPr>
      </w:pPr>
    </w:p>
    <w:p>
      <w:pPr>
        <w:pStyle w:val="2"/>
        <w:spacing w:before="156" w:after="156"/>
      </w:pPr>
    </w:p>
    <w:p>
      <w:pPr>
        <w:ind w:firstLine="480"/>
      </w:pP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编制单位：纽科伦（新乡）起重机有限公司</w:t>
      </w: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法人代表：</w:t>
      </w:r>
      <w:r>
        <w:rPr>
          <w:rFonts w:hint="eastAsia" w:cs="Times New Roman"/>
          <w:sz w:val="28"/>
          <w:szCs w:val="28"/>
          <w:lang w:val="en-US" w:eastAsia="zh-CN"/>
        </w:rPr>
        <w:t>金庆好</w:t>
      </w: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项目负责人：</w:t>
      </w:r>
      <w:r>
        <w:rPr>
          <w:rFonts w:hint="eastAsia" w:cs="Times New Roman"/>
          <w:sz w:val="28"/>
          <w:szCs w:val="28"/>
          <w:lang w:val="en-US" w:eastAsia="zh-CN"/>
        </w:rPr>
        <w:t>周浩</w:t>
      </w:r>
    </w:p>
    <w:p>
      <w:pPr>
        <w:ind w:left="0" w:leftChars="0" w:firstLine="0" w:firstLineChars="0"/>
        <w:rPr>
          <w:rFonts w:hint="default" w:cs="Times New Roman"/>
          <w:sz w:val="28"/>
          <w:szCs w:val="28"/>
          <w:lang w:val="en-US" w:eastAsia="zh-CN"/>
        </w:rPr>
      </w:pPr>
      <w:r>
        <w:rPr>
          <w:rFonts w:hint="default" w:cs="Times New Roman"/>
          <w:sz w:val="28"/>
          <w:szCs w:val="28"/>
          <w:lang w:val="en-US" w:eastAsia="zh-CN"/>
        </w:rPr>
        <w:t>联系方式：15225933767</w:t>
      </w:r>
    </w:p>
    <w:p>
      <w:pPr>
        <w:ind w:left="0" w:leftChars="0" w:firstLine="0" w:firstLineChars="0"/>
        <w:rPr>
          <w:rFonts w:hint="default" w:cs="Times New Roman"/>
          <w:sz w:val="28"/>
          <w:szCs w:val="28"/>
        </w:rPr>
      </w:pPr>
      <w:r>
        <w:rPr>
          <w:rFonts w:hint="default" w:cs="Times New Roman"/>
          <w:sz w:val="28"/>
          <w:szCs w:val="28"/>
          <w:lang w:val="en-US" w:eastAsia="zh-CN"/>
        </w:rPr>
        <w:t>地    址：长垣市河南起重机工业园区巨人大道</w:t>
      </w:r>
    </w:p>
    <w:p>
      <w:pPr>
        <w:ind w:firstLine="560"/>
        <w:rPr>
          <w:rFonts w:cs="Times New Roman"/>
          <w:sz w:val="28"/>
          <w:szCs w:val="28"/>
        </w:rPr>
      </w:pPr>
    </w:p>
    <w:p>
      <w:pPr>
        <w:tabs>
          <w:tab w:val="left" w:pos="809"/>
        </w:tabs>
        <w:ind w:firstLine="0" w:firstLineChars="0"/>
        <w:rPr>
          <w:rFonts w:cs="Times New Roma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bookmarkEnd w:id="0"/>
    <w:bookmarkEnd w:id="1"/>
    <w:bookmarkEnd w:id="2"/>
    <w:bookmarkEnd w:id="3"/>
    <w:bookmarkEnd w:id="4"/>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bookmarkStart w:id="6" w:name="_Toc25937"/>
      <w:bookmarkStart w:id="7" w:name="_Toc27492"/>
      <w:bookmarkStart w:id="8" w:name="_Toc16745"/>
      <w:bookmarkStart w:id="9" w:name="_Toc13604"/>
      <w:bookmarkStart w:id="10" w:name="_Toc32209"/>
      <w:bookmarkStart w:id="11" w:name="_Toc23864"/>
      <w:bookmarkStart w:id="12" w:name="_Toc9100"/>
      <w:bookmarkStart w:id="13" w:name="_Toc14239"/>
      <w:bookmarkStart w:id="14" w:name="_Toc14675"/>
      <w:bookmarkStart w:id="15" w:name="_Toc9626"/>
      <w:bookmarkStart w:id="16" w:name="_Toc478"/>
      <w:r>
        <w:rPr>
          <w:rFonts w:cs="Times New Roman"/>
          <w:color w:val="FF0000"/>
        </w:rPr>
        <w:fldChar w:fldCharType="begin"/>
      </w:r>
      <w:r>
        <w:rPr>
          <w:rFonts w:cs="Times New Roman"/>
          <w:color w:val="FF0000"/>
        </w:rPr>
        <w:instrText xml:space="preserve">TOC \o "1-3" \h \u </w:instrText>
      </w:r>
      <w:r>
        <w:rPr>
          <w:rFonts w:cs="Times New Roman"/>
          <w:color w:val="FF0000"/>
        </w:rPr>
        <w:fldChar w:fldCharType="separate"/>
      </w:r>
      <w:r>
        <w:rPr>
          <w:rFonts w:cs="Times New Roman"/>
          <w:color w:val="FF0000"/>
        </w:rPr>
        <w:fldChar w:fldCharType="begin"/>
      </w:r>
      <w:r>
        <w:rPr>
          <w:rFonts w:cs="Times New Roman"/>
        </w:rPr>
        <w:instrText xml:space="preserve"> HYPERLINK \l _Toc21955 </w:instrText>
      </w:r>
      <w:r>
        <w:rPr>
          <w:rFonts w:cs="Times New Roman"/>
        </w:rPr>
        <w:fldChar w:fldCharType="separate"/>
      </w:r>
      <w:r>
        <w:rPr>
          <w:rFonts w:cs="Times New Roman"/>
        </w:rPr>
        <w:t>1</w:t>
      </w:r>
      <w:r>
        <w:rPr>
          <w:rFonts w:hint="eastAsia" w:cs="Times New Roman"/>
        </w:rPr>
        <w:t xml:space="preserve"> </w:t>
      </w:r>
      <w:r>
        <w:rPr>
          <w:rFonts w:cs="Times New Roman"/>
        </w:rPr>
        <w:t>验收项目概况</w:t>
      </w:r>
      <w:r>
        <w:tab/>
      </w:r>
      <w:r>
        <w:fldChar w:fldCharType="begin"/>
      </w:r>
      <w:r>
        <w:instrText xml:space="preserve"> PAGEREF _Toc21955 \h </w:instrText>
      </w:r>
      <w:r>
        <w:fldChar w:fldCharType="separate"/>
      </w:r>
      <w:r>
        <w:t>1</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_Toc8479 </w:instrText>
      </w:r>
      <w:r>
        <w:rPr>
          <w:rFonts w:cs="Times New Roman"/>
        </w:rPr>
        <w:fldChar w:fldCharType="separate"/>
      </w:r>
      <w:r>
        <w:rPr>
          <w:rFonts w:cs="Times New Roman"/>
        </w:rPr>
        <w:t>2 验收依据</w:t>
      </w:r>
      <w:r>
        <w:tab/>
      </w:r>
      <w:r>
        <w:fldChar w:fldCharType="begin"/>
      </w:r>
      <w:r>
        <w:instrText xml:space="preserve"> PAGEREF _Toc8479 \h </w:instrText>
      </w:r>
      <w:r>
        <w:fldChar w:fldCharType="separate"/>
      </w:r>
      <w:r>
        <w:t>2</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_Toc24342 </w:instrText>
      </w:r>
      <w:r>
        <w:rPr>
          <w:rFonts w:cs="Times New Roman"/>
        </w:rPr>
        <w:fldChar w:fldCharType="separate"/>
      </w:r>
      <w:r>
        <w:rPr>
          <w:rFonts w:cs="Times New Roman"/>
        </w:rPr>
        <w:t>2.1 建设项目环境保护相关法律、法规、规章和规范</w:t>
      </w:r>
      <w:r>
        <w:tab/>
      </w:r>
      <w:r>
        <w:fldChar w:fldCharType="begin"/>
      </w:r>
      <w:r>
        <w:instrText xml:space="preserve"> PAGEREF _Toc24342 \h </w:instrText>
      </w:r>
      <w:r>
        <w:fldChar w:fldCharType="separate"/>
      </w:r>
      <w:r>
        <w:t>2</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_Toc1212 </w:instrText>
      </w:r>
      <w:r>
        <w:rPr>
          <w:rFonts w:cs="Times New Roman"/>
        </w:rPr>
        <w:fldChar w:fldCharType="separate"/>
      </w:r>
      <w:r>
        <w:rPr>
          <w:rFonts w:cs="Times New Roman"/>
        </w:rPr>
        <w:t>2.2 建设项目竣工环境保护验收技术规范</w:t>
      </w:r>
      <w:r>
        <w:tab/>
      </w:r>
      <w:r>
        <w:fldChar w:fldCharType="begin"/>
      </w:r>
      <w:r>
        <w:instrText xml:space="preserve"> PAGEREF _Toc1212 \h </w:instrText>
      </w:r>
      <w:r>
        <w:fldChar w:fldCharType="separate"/>
      </w:r>
      <w:r>
        <w:t>2</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_Toc30231 </w:instrText>
      </w:r>
      <w:r>
        <w:rPr>
          <w:rFonts w:cs="Times New Roman"/>
        </w:rPr>
        <w:fldChar w:fldCharType="separate"/>
      </w:r>
      <w:r>
        <w:rPr>
          <w:rFonts w:cs="Times New Roman"/>
        </w:rPr>
        <w:t>2.3 建设项目环境影响</w:t>
      </w:r>
      <w:r>
        <w:rPr>
          <w:rFonts w:hint="eastAsia" w:cs="Times New Roman"/>
        </w:rPr>
        <w:t>报告书</w:t>
      </w:r>
      <w:r>
        <w:rPr>
          <w:rFonts w:cs="Times New Roman"/>
        </w:rPr>
        <w:t>及审批部门审批决定</w:t>
      </w:r>
      <w:r>
        <w:tab/>
      </w:r>
      <w:r>
        <w:fldChar w:fldCharType="begin"/>
      </w:r>
      <w:r>
        <w:instrText xml:space="preserve"> PAGEREF _Toc30231 \h </w:instrText>
      </w:r>
      <w:r>
        <w:fldChar w:fldCharType="separate"/>
      </w:r>
      <w:r>
        <w:t>2</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_Toc14414 </w:instrText>
      </w:r>
      <w:r>
        <w:rPr>
          <w:rFonts w:cs="Times New Roman"/>
        </w:rPr>
        <w:fldChar w:fldCharType="separate"/>
      </w:r>
      <w:r>
        <w:rPr>
          <w:rFonts w:cs="Times New Roman"/>
        </w:rPr>
        <w:t>3工程建设情况</w:t>
      </w:r>
      <w:r>
        <w:tab/>
      </w:r>
      <w:r>
        <w:fldChar w:fldCharType="begin"/>
      </w:r>
      <w:r>
        <w:instrText xml:space="preserve"> PAGEREF _Toc14414 \h </w:instrText>
      </w:r>
      <w:r>
        <w:fldChar w:fldCharType="separate"/>
      </w:r>
      <w:r>
        <w:t>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_Toc14147 </w:instrText>
      </w:r>
      <w:r>
        <w:rPr>
          <w:rFonts w:cs="Times New Roman"/>
        </w:rPr>
        <w:fldChar w:fldCharType="separate"/>
      </w:r>
      <w:r>
        <w:rPr>
          <w:rFonts w:cs="Times New Roman"/>
        </w:rPr>
        <w:t>3.1 地理位置及平面布置</w:t>
      </w:r>
      <w:r>
        <w:tab/>
      </w:r>
      <w:r>
        <w:fldChar w:fldCharType="begin"/>
      </w:r>
      <w:r>
        <w:instrText xml:space="preserve"> PAGEREF _Toc14147 \h </w:instrText>
      </w:r>
      <w:r>
        <w:fldChar w:fldCharType="separate"/>
      </w:r>
      <w:r>
        <w:t>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_Toc4166 </w:instrText>
      </w:r>
      <w:r>
        <w:rPr>
          <w:rFonts w:cs="Times New Roman"/>
        </w:rPr>
        <w:fldChar w:fldCharType="separate"/>
      </w:r>
      <w:r>
        <w:rPr>
          <w:rFonts w:cs="Times New Roman"/>
        </w:rPr>
        <w:t>3.2 建设内容</w:t>
      </w:r>
      <w:r>
        <w:tab/>
      </w:r>
      <w:r>
        <w:fldChar w:fldCharType="begin"/>
      </w:r>
      <w:r>
        <w:instrText xml:space="preserve"> PAGEREF _Toc4166 \h </w:instrText>
      </w:r>
      <w:r>
        <w:fldChar w:fldCharType="separate"/>
      </w:r>
      <w:r>
        <w:t>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_Toc20359 </w:instrText>
      </w:r>
      <w:r>
        <w:rPr>
          <w:rFonts w:cs="Times New Roman"/>
        </w:rPr>
        <w:fldChar w:fldCharType="separate"/>
      </w:r>
      <w:r>
        <w:rPr>
          <w:rFonts w:cs="Times New Roman"/>
        </w:rPr>
        <w:t>3.3 主要原辅材料及燃料</w:t>
      </w:r>
      <w:r>
        <w:tab/>
      </w:r>
      <w:r>
        <w:fldChar w:fldCharType="begin"/>
      </w:r>
      <w:r>
        <w:instrText xml:space="preserve"> PAGEREF _Toc20359 \h </w:instrText>
      </w:r>
      <w:r>
        <w:fldChar w:fldCharType="separate"/>
      </w:r>
      <w:r>
        <w:t>7</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_Toc3863 </w:instrText>
      </w:r>
      <w:r>
        <w:rPr>
          <w:rFonts w:cs="Times New Roman"/>
        </w:rPr>
        <w:fldChar w:fldCharType="separate"/>
      </w:r>
      <w:r>
        <w:rPr>
          <w:rFonts w:cs="Times New Roman"/>
        </w:rPr>
        <w:t>3.4 水源及水平衡</w:t>
      </w:r>
      <w:r>
        <w:tab/>
      </w:r>
      <w:r>
        <w:fldChar w:fldCharType="begin"/>
      </w:r>
      <w:r>
        <w:instrText xml:space="preserve"> PAGEREF _Toc3863 \h </w:instrText>
      </w:r>
      <w:r>
        <w:fldChar w:fldCharType="separate"/>
      </w:r>
      <w:r>
        <w:t>8</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_Toc989 </w:instrText>
      </w:r>
      <w:r>
        <w:rPr>
          <w:rFonts w:cs="Times New Roman"/>
        </w:rPr>
        <w:fldChar w:fldCharType="separate"/>
      </w:r>
      <w:r>
        <w:rPr>
          <w:rFonts w:cs="Times New Roman"/>
          <w:szCs w:val="28"/>
        </w:rPr>
        <w:t>3.5 生产工艺</w:t>
      </w:r>
      <w:r>
        <w:tab/>
      </w:r>
      <w:r>
        <w:fldChar w:fldCharType="begin"/>
      </w:r>
      <w:r>
        <w:instrText xml:space="preserve"> PAGEREF _Toc989 \h </w:instrText>
      </w:r>
      <w:r>
        <w:fldChar w:fldCharType="separate"/>
      </w:r>
      <w:r>
        <w:t>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_Toc355 </w:instrText>
      </w:r>
      <w:r>
        <w:rPr>
          <w:rFonts w:cs="Times New Roman"/>
        </w:rPr>
        <w:fldChar w:fldCharType="separate"/>
      </w:r>
      <w:r>
        <w:rPr>
          <w:rFonts w:cs="Times New Roman"/>
          <w:szCs w:val="28"/>
        </w:rPr>
        <w:t>3.6 项目变动情况</w:t>
      </w:r>
      <w:r>
        <w:tab/>
      </w:r>
      <w:r>
        <w:fldChar w:fldCharType="begin"/>
      </w:r>
      <w:r>
        <w:instrText xml:space="preserve"> PAGEREF _Toc355 \h </w:instrText>
      </w:r>
      <w:r>
        <w:fldChar w:fldCharType="separate"/>
      </w:r>
      <w:r>
        <w:t>12</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_Toc757 </w:instrText>
      </w:r>
      <w:r>
        <w:rPr>
          <w:rFonts w:cs="Times New Roman"/>
        </w:rPr>
        <w:fldChar w:fldCharType="separate"/>
      </w:r>
      <w:r>
        <w:t>4 环境保护措施</w:t>
      </w:r>
      <w:r>
        <w:tab/>
      </w:r>
      <w:r>
        <w:fldChar w:fldCharType="begin"/>
      </w:r>
      <w:r>
        <w:instrText xml:space="preserve"> PAGEREF _Toc757 \h </w:instrText>
      </w:r>
      <w:r>
        <w:fldChar w:fldCharType="separate"/>
      </w:r>
      <w:r>
        <w:t>13</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_Toc16098 </w:instrText>
      </w:r>
      <w:r>
        <w:rPr>
          <w:rFonts w:cs="Times New Roman"/>
        </w:rPr>
        <w:fldChar w:fldCharType="separate"/>
      </w:r>
      <w:r>
        <w:rPr>
          <w:rFonts w:cs="Times New Roman"/>
        </w:rPr>
        <w:t>4.1 污染物治理设施</w:t>
      </w:r>
      <w:r>
        <w:tab/>
      </w:r>
      <w:r>
        <w:fldChar w:fldCharType="begin"/>
      </w:r>
      <w:r>
        <w:instrText xml:space="preserve"> PAGEREF _Toc16098 \h </w:instrText>
      </w:r>
      <w:r>
        <w:fldChar w:fldCharType="separate"/>
      </w:r>
      <w:r>
        <w:t>13</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_Toc31518 </w:instrText>
      </w:r>
      <w:r>
        <w:rPr>
          <w:rFonts w:cs="Times New Roman"/>
        </w:rPr>
        <w:fldChar w:fldCharType="separate"/>
      </w:r>
      <w:r>
        <w:rPr>
          <w:rFonts w:cs="Times New Roman"/>
          <w:szCs w:val="28"/>
        </w:rPr>
        <w:t>4.1.1 废水</w:t>
      </w:r>
      <w:r>
        <w:tab/>
      </w:r>
      <w:r>
        <w:fldChar w:fldCharType="begin"/>
      </w:r>
      <w:r>
        <w:instrText xml:space="preserve"> PAGEREF _Toc31518 \h </w:instrText>
      </w:r>
      <w:r>
        <w:fldChar w:fldCharType="separate"/>
      </w:r>
      <w:r>
        <w:t>13</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_Toc8333 </w:instrText>
      </w:r>
      <w:r>
        <w:rPr>
          <w:rFonts w:cs="Times New Roman"/>
        </w:rPr>
        <w:fldChar w:fldCharType="separate"/>
      </w:r>
      <w:r>
        <w:rPr>
          <w:rFonts w:cs="Times New Roman"/>
        </w:rPr>
        <w:t>4.1.2 废气</w:t>
      </w:r>
      <w:r>
        <w:tab/>
      </w:r>
      <w:r>
        <w:fldChar w:fldCharType="begin"/>
      </w:r>
      <w:r>
        <w:instrText xml:space="preserve"> PAGEREF _Toc8333 \h </w:instrText>
      </w:r>
      <w:r>
        <w:fldChar w:fldCharType="separate"/>
      </w:r>
      <w:r>
        <w:t>14</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_Toc25419 </w:instrText>
      </w:r>
      <w:r>
        <w:rPr>
          <w:rFonts w:cs="Times New Roman"/>
        </w:rPr>
        <w:fldChar w:fldCharType="separate"/>
      </w:r>
      <w:r>
        <w:rPr>
          <w:rFonts w:cs="Times New Roman"/>
          <w:szCs w:val="28"/>
        </w:rPr>
        <w:t>4.1.3 噪声</w:t>
      </w:r>
      <w:r>
        <w:tab/>
      </w:r>
      <w:r>
        <w:fldChar w:fldCharType="begin"/>
      </w:r>
      <w:r>
        <w:instrText xml:space="preserve"> PAGEREF _Toc25419 \h </w:instrText>
      </w:r>
      <w:r>
        <w:fldChar w:fldCharType="separate"/>
      </w:r>
      <w:r>
        <w:t>14</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_Toc32160 </w:instrText>
      </w:r>
      <w:r>
        <w:rPr>
          <w:rFonts w:cs="Times New Roman"/>
        </w:rPr>
        <w:fldChar w:fldCharType="separate"/>
      </w:r>
      <w:r>
        <w:rPr>
          <w:rFonts w:cs="Times New Roman"/>
          <w:szCs w:val="28"/>
        </w:rPr>
        <w:t>4.1.4 固废</w:t>
      </w:r>
      <w:r>
        <w:tab/>
      </w:r>
      <w:r>
        <w:fldChar w:fldCharType="begin"/>
      </w:r>
      <w:r>
        <w:instrText xml:space="preserve"> PAGEREF _Toc32160 \h </w:instrText>
      </w:r>
      <w:r>
        <w:fldChar w:fldCharType="separate"/>
      </w:r>
      <w:r>
        <w:t>15</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_Toc21478 </w:instrText>
      </w:r>
      <w:r>
        <w:rPr>
          <w:rFonts w:cs="Times New Roman"/>
        </w:rPr>
        <w:fldChar w:fldCharType="separate"/>
      </w:r>
      <w:r>
        <w:rPr>
          <w:rFonts w:cs="Times New Roman"/>
        </w:rPr>
        <w:t>4.2 其他环保设施</w:t>
      </w:r>
      <w:r>
        <w:tab/>
      </w:r>
      <w:r>
        <w:fldChar w:fldCharType="begin"/>
      </w:r>
      <w:r>
        <w:instrText xml:space="preserve"> PAGEREF _Toc21478 \h </w:instrText>
      </w:r>
      <w:r>
        <w:fldChar w:fldCharType="separate"/>
      </w:r>
      <w:r>
        <w:t>16</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_Toc14964 </w:instrText>
      </w:r>
      <w:r>
        <w:rPr>
          <w:rFonts w:cs="Times New Roman"/>
        </w:rPr>
        <w:fldChar w:fldCharType="separate"/>
      </w:r>
      <w:r>
        <w:rPr>
          <w:rFonts w:cs="Times New Roman"/>
          <w:szCs w:val="28"/>
        </w:rPr>
        <w:t>4.2.1</w:t>
      </w:r>
      <w:r>
        <w:rPr>
          <w:rFonts w:hint="eastAsia" w:cs="Times New Roman"/>
          <w:szCs w:val="28"/>
        </w:rPr>
        <w:t xml:space="preserve"> 环境风险防范设施</w:t>
      </w:r>
      <w:r>
        <w:tab/>
      </w:r>
      <w:r>
        <w:fldChar w:fldCharType="begin"/>
      </w:r>
      <w:r>
        <w:instrText xml:space="preserve"> PAGEREF _Toc14964 \h </w:instrText>
      </w:r>
      <w:r>
        <w:fldChar w:fldCharType="separate"/>
      </w:r>
      <w:r>
        <w:t>16</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_Toc32532 </w:instrText>
      </w:r>
      <w:r>
        <w:rPr>
          <w:rFonts w:cs="Times New Roman"/>
        </w:rPr>
        <w:fldChar w:fldCharType="separate"/>
      </w:r>
      <w:r>
        <w:rPr>
          <w:rFonts w:hint="eastAsia" w:cs="Times New Roman"/>
          <w:szCs w:val="28"/>
        </w:rPr>
        <w:t xml:space="preserve">4.2.2 </w:t>
      </w:r>
      <w:r>
        <w:rPr>
          <w:rFonts w:cs="Times New Roman"/>
          <w:szCs w:val="28"/>
        </w:rPr>
        <w:t>在线监测装置</w:t>
      </w:r>
      <w:r>
        <w:tab/>
      </w:r>
      <w:r>
        <w:fldChar w:fldCharType="begin"/>
      </w:r>
      <w:r>
        <w:instrText xml:space="preserve"> PAGEREF _Toc32532 \h </w:instrText>
      </w:r>
      <w:r>
        <w:fldChar w:fldCharType="separate"/>
      </w:r>
      <w:r>
        <w:t>19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_Toc27402 </w:instrText>
      </w:r>
      <w:r>
        <w:rPr>
          <w:rFonts w:cs="Times New Roman"/>
        </w:rPr>
        <w:fldChar w:fldCharType="separate"/>
      </w:r>
      <w:r>
        <w:rPr>
          <w:rFonts w:cs="Times New Roman"/>
        </w:rPr>
        <w:t>4.3 环保设施投资及三同时落实情况</w:t>
      </w:r>
      <w:r>
        <w:tab/>
      </w:r>
      <w:r>
        <w:fldChar w:fldCharType="begin"/>
      </w:r>
      <w:r>
        <w:instrText xml:space="preserve"> PAGEREF _Toc27402 \h </w:instrText>
      </w:r>
      <w:r>
        <w:fldChar w:fldCharType="separate"/>
      </w:r>
      <w:r>
        <w:t>19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_Toc20887 </w:instrText>
      </w:r>
      <w:r>
        <w:rPr>
          <w:rFonts w:cs="Times New Roman"/>
        </w:rPr>
        <w:fldChar w:fldCharType="separate"/>
      </w:r>
      <w:r>
        <w:t>5 建设项目环评报告</w:t>
      </w:r>
      <w:r>
        <w:rPr>
          <w:rFonts w:hint="eastAsia"/>
        </w:rPr>
        <w:t>书</w:t>
      </w:r>
      <w:r>
        <w:t>的主要结论与建议及审批部门审决定</w:t>
      </w:r>
      <w:r>
        <w:tab/>
      </w:r>
      <w:r>
        <w:fldChar w:fldCharType="begin"/>
      </w:r>
      <w:r>
        <w:instrText xml:space="preserve"> PAGEREF _Toc20887 \h </w:instrText>
      </w:r>
      <w:r>
        <w:fldChar w:fldCharType="separate"/>
      </w:r>
      <w:r>
        <w:t>20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_Toc22223 </w:instrText>
      </w:r>
      <w:r>
        <w:rPr>
          <w:rFonts w:cs="Times New Roman"/>
        </w:rPr>
        <w:fldChar w:fldCharType="separate"/>
      </w:r>
      <w:r>
        <w:t>5.1 建设项目环评报告</w:t>
      </w:r>
      <w:r>
        <w:rPr>
          <w:rFonts w:hint="eastAsia"/>
        </w:rPr>
        <w:t>书</w:t>
      </w:r>
      <w:r>
        <w:t>的主要结论与建议</w:t>
      </w:r>
      <w:r>
        <w:tab/>
      </w:r>
      <w:r>
        <w:fldChar w:fldCharType="begin"/>
      </w:r>
      <w:r>
        <w:instrText xml:space="preserve"> PAGEREF _Toc22223 \h </w:instrText>
      </w:r>
      <w:r>
        <w:fldChar w:fldCharType="separate"/>
      </w:r>
      <w:r>
        <w:t>20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_Toc13306 </w:instrText>
      </w:r>
      <w:r>
        <w:rPr>
          <w:rFonts w:cs="Times New Roman"/>
        </w:rPr>
        <w:fldChar w:fldCharType="separate"/>
      </w:r>
      <w:r>
        <w:t>5.2 审批部门审批决定</w:t>
      </w:r>
      <w:r>
        <w:tab/>
      </w:r>
      <w:r>
        <w:fldChar w:fldCharType="begin"/>
      </w:r>
      <w:r>
        <w:instrText xml:space="preserve"> PAGEREF _Toc13306 \h </w:instrText>
      </w:r>
      <w:r>
        <w:fldChar w:fldCharType="separate"/>
      </w:r>
      <w:r>
        <w:t>24</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_Toc20401 </w:instrText>
      </w:r>
      <w:r>
        <w:rPr>
          <w:rFonts w:cs="Times New Roman"/>
        </w:rPr>
        <w:fldChar w:fldCharType="separate"/>
      </w:r>
      <w:r>
        <w:t>6 验收执行标准</w:t>
      </w:r>
      <w:r>
        <w:tab/>
      </w:r>
      <w:r>
        <w:fldChar w:fldCharType="begin"/>
      </w:r>
      <w:r>
        <w:instrText xml:space="preserve"> PAGEREF _Toc20401 \h </w:instrText>
      </w:r>
      <w:r>
        <w:fldChar w:fldCharType="separate"/>
      </w:r>
      <w:r>
        <w:t>25</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_Toc13781 </w:instrText>
      </w:r>
      <w:r>
        <w:rPr>
          <w:rFonts w:cs="Times New Roman"/>
        </w:rPr>
        <w:fldChar w:fldCharType="separate"/>
      </w:r>
      <w:r>
        <w:t>6.1</w:t>
      </w:r>
      <w:r>
        <w:rPr>
          <w:rFonts w:hint="eastAsia"/>
        </w:rPr>
        <w:t>环境质量标准</w:t>
      </w:r>
      <w:r>
        <w:tab/>
      </w:r>
      <w:r>
        <w:fldChar w:fldCharType="begin"/>
      </w:r>
      <w:r>
        <w:instrText xml:space="preserve"> PAGEREF _Toc13781 \h </w:instrText>
      </w:r>
      <w:r>
        <w:fldChar w:fldCharType="separate"/>
      </w:r>
      <w:r>
        <w:t>25</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_Toc7873 </w:instrText>
      </w:r>
      <w:r>
        <w:rPr>
          <w:rFonts w:cs="Times New Roman"/>
        </w:rPr>
        <w:fldChar w:fldCharType="separate"/>
      </w:r>
      <w:r>
        <w:t>6.</w:t>
      </w:r>
      <w:r>
        <w:rPr>
          <w:rFonts w:hint="eastAsia"/>
        </w:rPr>
        <w:t>2</w:t>
      </w:r>
      <w:r>
        <w:t>污染物排放标准</w:t>
      </w:r>
      <w:r>
        <w:tab/>
      </w:r>
      <w:r>
        <w:fldChar w:fldCharType="begin"/>
      </w:r>
      <w:r>
        <w:instrText xml:space="preserve"> PAGEREF _Toc7873 \h </w:instrText>
      </w:r>
      <w:r>
        <w:fldChar w:fldCharType="separate"/>
      </w:r>
      <w:r>
        <w:t>26</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rPr>
          <w:rFonts w:cs="Times New Roman"/>
          <w:color w:val="FF0000"/>
        </w:rPr>
      </w:pP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_Toc31845 </w:instrText>
      </w:r>
      <w:r>
        <w:rPr>
          <w:rFonts w:cs="Times New Roman"/>
        </w:rPr>
        <w:fldChar w:fldCharType="separate"/>
      </w:r>
      <w:r>
        <w:t>7 验收监测内容</w:t>
      </w:r>
      <w:r>
        <w:tab/>
      </w:r>
      <w:r>
        <w:fldChar w:fldCharType="begin"/>
      </w:r>
      <w:r>
        <w:instrText xml:space="preserve"> PAGEREF _Toc31845 \h </w:instrText>
      </w:r>
      <w:r>
        <w:fldChar w:fldCharType="separate"/>
      </w:r>
      <w:r>
        <w:t>27</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_Toc6897 </w:instrText>
      </w:r>
      <w:r>
        <w:rPr>
          <w:rFonts w:cs="Times New Roman"/>
        </w:rPr>
        <w:fldChar w:fldCharType="separate"/>
      </w:r>
      <w:r>
        <w:t>7.1 环境保护设施调试结果</w:t>
      </w:r>
      <w:r>
        <w:tab/>
      </w:r>
      <w:r>
        <w:fldChar w:fldCharType="begin"/>
      </w:r>
      <w:r>
        <w:instrText xml:space="preserve"> PAGEREF _Toc6897 \h </w:instrText>
      </w:r>
      <w:r>
        <w:fldChar w:fldCharType="separate"/>
      </w:r>
      <w:r>
        <w:t>27</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_Toc22233 </w:instrText>
      </w:r>
      <w:r>
        <w:rPr>
          <w:rFonts w:cs="Times New Roman"/>
        </w:rPr>
        <w:fldChar w:fldCharType="separate"/>
      </w:r>
      <w:r>
        <w:rPr>
          <w:rFonts w:cs="Times New Roman"/>
          <w:szCs w:val="28"/>
        </w:rPr>
        <w:t>7.1.1 废水</w:t>
      </w:r>
      <w:r>
        <w:tab/>
      </w:r>
      <w:r>
        <w:fldChar w:fldCharType="begin"/>
      </w:r>
      <w:r>
        <w:instrText xml:space="preserve"> PAGEREF _Toc22233 \h </w:instrText>
      </w:r>
      <w:r>
        <w:fldChar w:fldCharType="separate"/>
      </w:r>
      <w:r>
        <w:t>27</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_Toc11769 </w:instrText>
      </w:r>
      <w:r>
        <w:rPr>
          <w:rFonts w:cs="Times New Roman"/>
        </w:rPr>
        <w:fldChar w:fldCharType="separate"/>
      </w:r>
      <w:r>
        <w:rPr>
          <w:rFonts w:cs="Times New Roman"/>
          <w:szCs w:val="28"/>
        </w:rPr>
        <w:t>7.1.2 废气</w:t>
      </w:r>
      <w:r>
        <w:tab/>
      </w:r>
      <w:r>
        <w:fldChar w:fldCharType="begin"/>
      </w:r>
      <w:r>
        <w:instrText xml:space="preserve"> PAGEREF _Toc11769 \h </w:instrText>
      </w:r>
      <w:r>
        <w:fldChar w:fldCharType="separate"/>
      </w:r>
      <w:r>
        <w:t>27</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_Toc14184 </w:instrText>
      </w:r>
      <w:r>
        <w:rPr>
          <w:rFonts w:cs="Times New Roman"/>
        </w:rPr>
        <w:fldChar w:fldCharType="separate"/>
      </w:r>
      <w:r>
        <w:rPr>
          <w:rFonts w:cs="Times New Roman"/>
          <w:szCs w:val="28"/>
        </w:rPr>
        <w:t>7.1.3 厂界噪声监测</w:t>
      </w:r>
      <w:r>
        <w:tab/>
      </w:r>
      <w:r>
        <w:fldChar w:fldCharType="begin"/>
      </w:r>
      <w:r>
        <w:instrText xml:space="preserve"> PAGEREF _Toc14184 \h </w:instrText>
      </w:r>
      <w:r>
        <w:fldChar w:fldCharType="separate"/>
      </w:r>
      <w:r>
        <w:t>28</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_Toc29205 </w:instrText>
      </w:r>
      <w:r>
        <w:rPr>
          <w:rFonts w:cs="Times New Roman"/>
        </w:rPr>
        <w:fldChar w:fldCharType="separate"/>
      </w:r>
      <w:r>
        <w:rPr>
          <w:rFonts w:cs="Times New Roman"/>
          <w:szCs w:val="28"/>
        </w:rPr>
        <w:t>7.1.4 固体废物监测</w:t>
      </w:r>
      <w:r>
        <w:tab/>
      </w:r>
      <w:r>
        <w:fldChar w:fldCharType="begin"/>
      </w:r>
      <w:r>
        <w:instrText xml:space="preserve"> PAGEREF _Toc29205 \h </w:instrText>
      </w:r>
      <w:r>
        <w:fldChar w:fldCharType="separate"/>
      </w:r>
      <w:r>
        <w:t>29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_Toc12876 </w:instrText>
      </w:r>
      <w:r>
        <w:rPr>
          <w:rFonts w:cs="Times New Roman"/>
        </w:rPr>
        <w:fldChar w:fldCharType="separate"/>
      </w:r>
      <w:r>
        <w:t>8 质量保证及质量控制</w:t>
      </w:r>
      <w:r>
        <w:tab/>
      </w:r>
      <w:r>
        <w:fldChar w:fldCharType="begin"/>
      </w:r>
      <w:r>
        <w:instrText xml:space="preserve"> PAGEREF _Toc12876 \h </w:instrText>
      </w:r>
      <w:r>
        <w:fldChar w:fldCharType="separate"/>
      </w:r>
      <w:r>
        <w:t>29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_Toc352 </w:instrText>
      </w:r>
      <w:r>
        <w:rPr>
          <w:rFonts w:cs="Times New Roman"/>
        </w:rPr>
        <w:fldChar w:fldCharType="separate"/>
      </w:r>
      <w:r>
        <w:t>8.1 监测分析方法</w:t>
      </w:r>
      <w:r>
        <w:tab/>
      </w:r>
      <w:r>
        <w:fldChar w:fldCharType="begin"/>
      </w:r>
      <w:r>
        <w:instrText xml:space="preserve"> PAGEREF _Toc352 \h </w:instrText>
      </w:r>
      <w:r>
        <w:fldChar w:fldCharType="separate"/>
      </w:r>
      <w:r>
        <w:t>29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_Toc941 </w:instrText>
      </w:r>
      <w:r>
        <w:rPr>
          <w:rFonts w:cs="Times New Roman"/>
        </w:rPr>
        <w:fldChar w:fldCharType="separate"/>
      </w:r>
      <w:r>
        <w:t>8.3 人员资质</w:t>
      </w:r>
      <w:r>
        <w:tab/>
      </w:r>
      <w:r>
        <w:fldChar w:fldCharType="begin"/>
      </w:r>
      <w:r>
        <w:instrText xml:space="preserve"> PAGEREF _Toc941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_Toc4635 </w:instrText>
      </w:r>
      <w:r>
        <w:rPr>
          <w:rFonts w:cs="Times New Roman"/>
        </w:rPr>
        <w:fldChar w:fldCharType="separate"/>
      </w:r>
      <w:r>
        <w:t>8.</w:t>
      </w:r>
      <w:r>
        <w:rPr>
          <w:rFonts w:hint="eastAsia"/>
        </w:rPr>
        <w:t>4</w:t>
      </w:r>
      <w:r>
        <w:t xml:space="preserve"> 气体检测分析过程中的质量保证和质量控制</w:t>
      </w:r>
      <w:r>
        <w:tab/>
      </w:r>
      <w:r>
        <w:fldChar w:fldCharType="begin"/>
      </w:r>
      <w:r>
        <w:instrText xml:space="preserve"> PAGEREF _Toc4635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_Toc15101 </w:instrText>
      </w:r>
      <w:r>
        <w:rPr>
          <w:rFonts w:cs="Times New Roman"/>
        </w:rPr>
        <w:fldChar w:fldCharType="separate"/>
      </w:r>
      <w:r>
        <w:t>8.</w:t>
      </w:r>
      <w:r>
        <w:rPr>
          <w:rFonts w:hint="eastAsia"/>
        </w:rPr>
        <w:t>5</w:t>
      </w:r>
      <w:r>
        <w:t xml:space="preserve"> 噪声监测分析过程中的质量保证和质量控制</w:t>
      </w:r>
      <w:r>
        <w:tab/>
      </w:r>
      <w:r>
        <w:fldChar w:fldCharType="begin"/>
      </w:r>
      <w:r>
        <w:instrText xml:space="preserve"> PAGEREF _Toc15101 \h </w:instrText>
      </w:r>
      <w:r>
        <w:fldChar w:fldCharType="separate"/>
      </w:r>
      <w:r>
        <w:t>30</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_Toc18249 </w:instrText>
      </w:r>
      <w:r>
        <w:rPr>
          <w:rFonts w:cs="Times New Roman"/>
        </w:rPr>
        <w:fldChar w:fldCharType="separate"/>
      </w:r>
      <w:r>
        <w:t>9 验收监测结果</w:t>
      </w:r>
      <w:r>
        <w:tab/>
      </w:r>
      <w:r>
        <w:fldChar w:fldCharType="begin"/>
      </w:r>
      <w:r>
        <w:instrText xml:space="preserve"> PAGEREF _Toc18249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_Toc17215 </w:instrText>
      </w:r>
      <w:r>
        <w:rPr>
          <w:rFonts w:cs="Times New Roman"/>
        </w:rPr>
        <w:fldChar w:fldCharType="separate"/>
      </w:r>
      <w:r>
        <w:t>9.1 生产工况</w:t>
      </w:r>
      <w:r>
        <w:tab/>
      </w:r>
      <w:r>
        <w:fldChar w:fldCharType="begin"/>
      </w:r>
      <w:r>
        <w:instrText xml:space="preserve"> PAGEREF _Toc17215 \h </w:instrText>
      </w:r>
      <w:r>
        <w:fldChar w:fldCharType="separate"/>
      </w:r>
      <w:r>
        <w:t>30</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_Toc3003 </w:instrText>
      </w:r>
      <w:r>
        <w:rPr>
          <w:rFonts w:cs="Times New Roman"/>
        </w:rPr>
        <w:fldChar w:fldCharType="separate"/>
      </w:r>
      <w:r>
        <w:t>9.2 环境保护设施调试效果</w:t>
      </w:r>
      <w:r>
        <w:tab/>
      </w:r>
      <w:r>
        <w:fldChar w:fldCharType="begin"/>
      </w:r>
      <w:r>
        <w:instrText xml:space="preserve"> PAGEREF _Toc3003 \h </w:instrText>
      </w:r>
      <w:r>
        <w:fldChar w:fldCharType="separate"/>
      </w:r>
      <w:r>
        <w:t>31</w:t>
      </w:r>
      <w:r>
        <w:fldChar w:fldCharType="end"/>
      </w:r>
      <w:r>
        <w:rPr>
          <w:rFonts w:cs="Times New Roman"/>
          <w:color w:val="FF0000"/>
        </w:rPr>
        <w:fldChar w:fldCharType="end"/>
      </w:r>
    </w:p>
    <w:p>
      <w:pPr>
        <w:pStyle w:val="12"/>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_Toc28336 </w:instrText>
      </w:r>
      <w:r>
        <w:rPr>
          <w:rFonts w:cs="Times New Roman"/>
        </w:rPr>
        <w:fldChar w:fldCharType="separate"/>
      </w:r>
      <w:r>
        <w:rPr>
          <w:rFonts w:cs="Times New Roman"/>
          <w:szCs w:val="28"/>
        </w:rPr>
        <w:t>9.2.1 污染达标排放监测结果</w:t>
      </w:r>
      <w:r>
        <w:tab/>
      </w:r>
      <w:r>
        <w:fldChar w:fldCharType="begin"/>
      </w:r>
      <w:r>
        <w:instrText xml:space="preserve"> PAGEREF _Toc28336 \h </w:instrText>
      </w:r>
      <w:r>
        <w:fldChar w:fldCharType="separate"/>
      </w:r>
      <w:r>
        <w:t>31</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_Toc7100 </w:instrText>
      </w:r>
      <w:r>
        <w:rPr>
          <w:rFonts w:cs="Times New Roman"/>
        </w:rPr>
        <w:fldChar w:fldCharType="separate"/>
      </w:r>
      <w:r>
        <w:t>10 验收监测结论</w:t>
      </w:r>
      <w:r>
        <w:tab/>
      </w:r>
      <w:r>
        <w:fldChar w:fldCharType="begin"/>
      </w:r>
      <w:r>
        <w:instrText xml:space="preserve"> PAGEREF _Toc7100 \h </w:instrText>
      </w:r>
      <w:r>
        <w:fldChar w:fldCharType="separate"/>
      </w:r>
      <w:r>
        <w:t>39</w:t>
      </w:r>
      <w:r>
        <w:fldChar w:fldCharType="end"/>
      </w:r>
      <w:r>
        <w:rPr>
          <w:rFonts w:cs="Times New Roman"/>
          <w:color w:val="FF0000"/>
        </w:rPr>
        <w:fldChar w:fldCharType="end"/>
      </w:r>
    </w:p>
    <w:p>
      <w:pPr>
        <w:pStyle w:val="18"/>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_Toc22123 </w:instrText>
      </w:r>
      <w:r>
        <w:rPr>
          <w:rFonts w:cs="Times New Roman"/>
        </w:rPr>
        <w:fldChar w:fldCharType="separate"/>
      </w:r>
      <w:r>
        <w:t>10.1 环境保护设施调试效果</w:t>
      </w:r>
      <w:r>
        <w:tab/>
      </w:r>
      <w:r>
        <w:fldChar w:fldCharType="begin"/>
      </w:r>
      <w:r>
        <w:instrText xml:space="preserve"> PAGEREF _Toc22123 \h </w:instrText>
      </w:r>
      <w:r>
        <w:fldChar w:fldCharType="separate"/>
      </w:r>
      <w:r>
        <w:t>39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_Toc17173 </w:instrText>
      </w:r>
      <w:r>
        <w:rPr>
          <w:rFonts w:cs="Times New Roman"/>
        </w:rPr>
        <w:fldChar w:fldCharType="separate"/>
      </w:r>
      <w:r>
        <w:t>11 建设项目环境保护“三同时”竣工验收登记表</w:t>
      </w:r>
      <w:r>
        <w:tab/>
      </w:r>
      <w:r>
        <w:fldChar w:fldCharType="begin"/>
      </w:r>
      <w:r>
        <w:instrText xml:space="preserve"> PAGEREF _Toc17173 \h </w:instrText>
      </w:r>
      <w:r>
        <w:fldChar w:fldCharType="separate"/>
      </w:r>
      <w:r>
        <w:t>40</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_Toc16480 </w:instrText>
      </w:r>
      <w:r>
        <w:rPr>
          <w:rFonts w:cs="Times New Roman"/>
        </w:rPr>
        <w:fldChar w:fldCharType="separate"/>
      </w:r>
      <w:r>
        <w:t>附图一  项目地理位置示意图</w:t>
      </w:r>
      <w:r>
        <w:tab/>
      </w:r>
      <w:r>
        <w:fldChar w:fldCharType="begin"/>
      </w:r>
      <w:r>
        <w:instrText xml:space="preserve"> PAGEREF _Toc16480 \h </w:instrText>
      </w:r>
      <w:r>
        <w:fldChar w:fldCharType="separate"/>
      </w:r>
      <w:r>
        <w:t>42</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_Toc29268 </w:instrText>
      </w:r>
      <w:r>
        <w:rPr>
          <w:rFonts w:cs="Times New Roman"/>
        </w:rPr>
        <w:fldChar w:fldCharType="separate"/>
      </w:r>
      <w:r>
        <w:t>附图二  项目周边环境示意图</w:t>
      </w:r>
      <w:r>
        <w:tab/>
      </w:r>
      <w:r>
        <w:fldChar w:fldCharType="begin"/>
      </w:r>
      <w:r>
        <w:instrText xml:space="preserve"> PAGEREF _Toc29268 \h </w:instrText>
      </w:r>
      <w:r>
        <w:fldChar w:fldCharType="separate"/>
      </w:r>
      <w:r>
        <w:t>43</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_Toc17389 </w:instrText>
      </w:r>
      <w:r>
        <w:rPr>
          <w:rFonts w:cs="Times New Roman"/>
        </w:rPr>
        <w:fldChar w:fldCharType="separate"/>
      </w:r>
      <w:r>
        <w:t>附图</w:t>
      </w:r>
      <w:r>
        <w:rPr>
          <w:rFonts w:hint="eastAsia"/>
        </w:rPr>
        <w:t>三</w:t>
      </w:r>
      <w:r>
        <w:t xml:space="preserve"> 项目厂区平面布置图</w:t>
      </w:r>
      <w:r>
        <w:tab/>
      </w:r>
      <w:r>
        <w:fldChar w:fldCharType="begin"/>
      </w:r>
      <w:r>
        <w:instrText xml:space="preserve"> PAGEREF _Toc17389 \h </w:instrText>
      </w:r>
      <w:r>
        <w:fldChar w:fldCharType="separate"/>
      </w:r>
      <w:r>
        <w:t>44</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_Toc29623 </w:instrText>
      </w:r>
      <w:r>
        <w:rPr>
          <w:rFonts w:cs="Times New Roman"/>
        </w:rPr>
        <w:fldChar w:fldCharType="separate"/>
      </w:r>
      <w:r>
        <w:t>附图</w:t>
      </w:r>
      <w:r>
        <w:rPr>
          <w:rFonts w:hint="eastAsia"/>
          <w:lang w:val="en-US" w:eastAsia="zh-CN"/>
        </w:rPr>
        <w:t>四</w:t>
      </w:r>
      <w:r>
        <w:t xml:space="preserve"> </w:t>
      </w:r>
      <w:r>
        <w:rPr>
          <w:rFonts w:hint="eastAsia"/>
          <w:lang w:val="en-US" w:eastAsia="zh-CN"/>
        </w:rPr>
        <w:t>长垣产业集聚区土地利用规划图</w:t>
      </w:r>
      <w:r>
        <w:tab/>
      </w:r>
      <w:r>
        <w:fldChar w:fldCharType="begin"/>
      </w:r>
      <w:r>
        <w:instrText xml:space="preserve"> PAGEREF _Toc29623 \h </w:instrText>
      </w:r>
      <w:r>
        <w:fldChar w:fldCharType="separate"/>
      </w:r>
      <w:r>
        <w:t>45</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_Toc15740 </w:instrText>
      </w:r>
      <w:r>
        <w:rPr>
          <w:rFonts w:cs="Times New Roman"/>
        </w:rPr>
        <w:fldChar w:fldCharType="separate"/>
      </w:r>
      <w:r>
        <w:t>附件</w:t>
      </w:r>
      <w:r>
        <w:rPr>
          <w:rFonts w:hint="eastAsia"/>
        </w:rPr>
        <w:t>1</w:t>
      </w:r>
      <w:r>
        <w:t xml:space="preserve"> 环境影响评价批复文件</w:t>
      </w:r>
      <w:r>
        <w:tab/>
      </w:r>
      <w:r>
        <w:fldChar w:fldCharType="begin"/>
      </w:r>
      <w:r>
        <w:instrText xml:space="preserve"> PAGEREF _Toc15740 \h </w:instrText>
      </w:r>
      <w:r>
        <w:fldChar w:fldCharType="separate"/>
      </w:r>
      <w:r>
        <w:t>46</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_Toc340 </w:instrText>
      </w:r>
      <w:r>
        <w:rPr>
          <w:rFonts w:cs="Times New Roman"/>
        </w:rPr>
        <w:fldChar w:fldCharType="separate"/>
      </w:r>
      <w:r>
        <w:t>附件</w:t>
      </w:r>
      <w:r>
        <w:rPr>
          <w:rFonts w:hint="eastAsia"/>
          <w:lang w:val="en-US" w:eastAsia="zh-CN"/>
        </w:rPr>
        <w:t>2</w:t>
      </w:r>
      <w:r>
        <w:t xml:space="preserve"> 检测单位资质</w:t>
      </w:r>
      <w:r>
        <w:tab/>
      </w:r>
      <w:r>
        <w:fldChar w:fldCharType="begin"/>
      </w:r>
      <w:r>
        <w:instrText xml:space="preserve"> PAGEREF _Toc340 \h </w:instrText>
      </w:r>
      <w:r>
        <w:fldChar w:fldCharType="separate"/>
      </w:r>
      <w:r>
        <w:t>48</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_Toc170 </w:instrText>
      </w:r>
      <w:r>
        <w:rPr>
          <w:rFonts w:cs="Times New Roman"/>
        </w:rPr>
        <w:fldChar w:fldCharType="separate"/>
      </w:r>
      <w:r>
        <w:rPr>
          <w:rFonts w:hint="eastAsia"/>
          <w:lang w:val="en-US" w:eastAsia="zh-CN"/>
        </w:rPr>
        <w:t>附件3 危险废物协议</w:t>
      </w:r>
      <w:r>
        <w:tab/>
      </w:r>
      <w:r>
        <w:fldChar w:fldCharType="begin"/>
      </w:r>
      <w:r>
        <w:instrText xml:space="preserve"> PAGEREF _Toc170 \h </w:instrText>
      </w:r>
      <w:r>
        <w:fldChar w:fldCharType="separate"/>
      </w:r>
      <w:r>
        <w:t>49</w:t>
      </w:r>
      <w:r>
        <w:fldChar w:fldCharType="end"/>
      </w:r>
      <w:r>
        <w:rPr>
          <w:rFonts w:cs="Times New Roman"/>
          <w:color w:val="FF0000"/>
        </w:rPr>
        <w:fldChar w:fldCharType="end"/>
      </w:r>
    </w:p>
    <w:p>
      <w:pPr>
        <w:pStyle w:val="17"/>
        <w:pageBreakBefore w:val="0"/>
        <w:widowControl w:val="0"/>
        <w:tabs>
          <w:tab w:val="right" w:leader="dot" w:pos="8306"/>
        </w:tabs>
        <w:kinsoku/>
        <w:wordWrap/>
        <w:overflowPunct/>
        <w:topLinePunct w:val="0"/>
        <w:autoSpaceDE/>
        <w:autoSpaceDN/>
        <w:bidi w:val="0"/>
        <w:adjustRightInd/>
        <w:spacing w:line="480" w:lineRule="exact"/>
        <w:textAlignment w:val="auto"/>
      </w:pPr>
      <w:r>
        <w:rPr>
          <w:rFonts w:cs="Times New Roman"/>
          <w:color w:val="FF0000"/>
        </w:rPr>
        <w:fldChar w:fldCharType="begin"/>
      </w:r>
      <w:r>
        <w:rPr>
          <w:rFonts w:cs="Times New Roman"/>
        </w:rPr>
        <w:instrText xml:space="preserve"> HYPERLINK \l _Toc21256 </w:instrText>
      </w:r>
      <w:r>
        <w:rPr>
          <w:rFonts w:cs="Times New Roman"/>
        </w:rPr>
        <w:fldChar w:fldCharType="separate"/>
      </w:r>
      <w:r>
        <w:rPr>
          <w:rFonts w:hint="default"/>
          <w:lang w:val="en-US" w:eastAsia="zh-CN"/>
        </w:rPr>
        <w:t>附件</w:t>
      </w:r>
      <w:r>
        <w:rPr>
          <w:rFonts w:hint="eastAsia"/>
          <w:lang w:val="en-US" w:eastAsia="zh-CN"/>
        </w:rPr>
        <w:t>4</w:t>
      </w:r>
      <w:r>
        <w:rPr>
          <w:rFonts w:hint="default"/>
          <w:lang w:val="en-US" w:eastAsia="zh-CN"/>
        </w:rPr>
        <w:t xml:space="preserve"> 验收意见</w:t>
      </w:r>
      <w:r>
        <w:tab/>
      </w:r>
      <w:r>
        <w:fldChar w:fldCharType="begin"/>
      </w:r>
      <w:r>
        <w:instrText xml:space="preserve"> PAGEREF _Toc21256 \h </w:instrText>
      </w:r>
      <w:r>
        <w:fldChar w:fldCharType="separate"/>
      </w:r>
      <w:r>
        <w:t>56</w:t>
      </w:r>
      <w:r>
        <w:fldChar w:fldCharType="end"/>
      </w:r>
      <w:r>
        <w:rPr>
          <w:rFonts w:cs="Times New Roman"/>
          <w:color w:val="FF0000"/>
        </w:rPr>
        <w:fldChar w:fldCharType="end"/>
      </w:r>
    </w:p>
    <w:p>
      <w:pPr>
        <w:pStyle w:val="2"/>
        <w:pageBreakBefore w:val="0"/>
        <w:widowControl w:val="0"/>
        <w:kinsoku/>
        <w:wordWrap/>
        <w:overflowPunct/>
        <w:topLinePunct w:val="0"/>
        <w:autoSpaceDE/>
        <w:autoSpaceDN/>
        <w:bidi w:val="0"/>
        <w:adjustRightInd/>
        <w:spacing w:beforeLines="0" w:afterLines="0" w:line="480" w:lineRule="exact"/>
        <w:textAlignment w:val="auto"/>
        <w:rPr>
          <w:rFonts w:cs="Times New Roman"/>
        </w:rPr>
      </w:pPr>
      <w:r>
        <w:rPr>
          <w:rFonts w:cs="Times New Roman"/>
          <w:color w:val="FF0000"/>
        </w:rPr>
        <w:fldChar w:fldCharType="end"/>
      </w:r>
    </w:p>
    <w:p>
      <w:pPr>
        <w:bidi w:val="0"/>
      </w:pPr>
    </w:p>
    <w:p>
      <w:pPr>
        <w:tabs>
          <w:tab w:val="left" w:pos="3636"/>
        </w:tabs>
        <w:bidi w:val="0"/>
        <w:jc w:val="left"/>
        <w:rPr>
          <w:rFonts w:hint="eastAsia" w:eastAsiaTheme="minorEastAsia"/>
          <w:lang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lang w:eastAsia="zh-CN"/>
        </w:rPr>
        <w:tab/>
      </w:r>
    </w:p>
    <w:p>
      <w:pPr>
        <w:pStyle w:val="2"/>
        <w:spacing w:before="156" w:after="156"/>
        <w:rPr>
          <w:rFonts w:cs="Times New Roman"/>
        </w:rPr>
      </w:pPr>
      <w:bookmarkStart w:id="17" w:name="_Toc21955"/>
      <w:r>
        <w:rPr>
          <w:rFonts w:cs="Times New Roman"/>
        </w:rPr>
        <w:t>1</w:t>
      </w:r>
      <w:r>
        <w:rPr>
          <w:rFonts w:hint="eastAsia" w:cs="Times New Roman"/>
        </w:rPr>
        <w:t xml:space="preserve"> </w:t>
      </w:r>
      <w:r>
        <w:rPr>
          <w:rFonts w:cs="Times New Roman"/>
        </w:rPr>
        <w:t>验收</w:t>
      </w:r>
      <w:bookmarkEnd w:id="6"/>
      <w:bookmarkEnd w:id="7"/>
      <w:bookmarkEnd w:id="8"/>
      <w:bookmarkEnd w:id="9"/>
      <w:bookmarkEnd w:id="10"/>
      <w:bookmarkEnd w:id="11"/>
      <w:bookmarkEnd w:id="12"/>
      <w:bookmarkEnd w:id="13"/>
      <w:bookmarkEnd w:id="14"/>
      <w:bookmarkEnd w:id="15"/>
      <w:r>
        <w:rPr>
          <w:rFonts w:cs="Times New Roman"/>
        </w:rPr>
        <w:t>项目概况</w:t>
      </w:r>
      <w:bookmarkEnd w:id="16"/>
      <w:bookmarkEnd w:id="17"/>
    </w:p>
    <w:p>
      <w:pPr>
        <w:adjustRightInd w:val="0"/>
        <w:snapToGrid w:val="0"/>
        <w:ind w:firstLine="480"/>
        <w:rPr>
          <w:rFonts w:cs="Times New Roman"/>
        </w:rPr>
      </w:pPr>
      <w:r>
        <w:t>纽科伦（新乡）起重机有限公司年产2万台起重机、100台立体车库、3万台电动葫芦及配件项目</w:t>
      </w:r>
      <w:r>
        <w:rPr>
          <w:rFonts w:hint="eastAsia" w:cs="Times New Roman"/>
        </w:rPr>
        <w:t>位于</w:t>
      </w:r>
      <w:r>
        <w:rPr>
          <w:rFonts w:hint="default" w:ascii="Times New Roman" w:hAnsi="Times New Roman" w:eastAsia="宋体" w:cs="Times New Roman"/>
          <w:color w:val="auto"/>
          <w:sz w:val="24"/>
          <w:szCs w:val="24"/>
          <w:lang w:val="en-US" w:eastAsia="zh-CN"/>
        </w:rPr>
        <w:t>长垣市河南起重机工业园区巨人大道</w:t>
      </w:r>
      <w:r>
        <w:rPr>
          <w:rFonts w:hint="eastAsia" w:cs="Times New Roman"/>
        </w:rPr>
        <w:t>，</w:t>
      </w:r>
      <w:r>
        <w:rPr>
          <w:rFonts w:cs="Times New Roman"/>
        </w:rPr>
        <w:t>为</w:t>
      </w:r>
      <w:r>
        <w:rPr>
          <w:rFonts w:hint="eastAsia" w:cs="Times New Roman"/>
          <w:lang w:val="en-US" w:eastAsia="zh-CN"/>
        </w:rPr>
        <w:t>扩建</w:t>
      </w:r>
      <w:r>
        <w:rPr>
          <w:rFonts w:cs="Times New Roman"/>
        </w:rPr>
        <w:t>项目。项目占地面积</w:t>
      </w:r>
      <w:r>
        <w:rPr>
          <w:rFonts w:hint="eastAsia"/>
        </w:rPr>
        <w:t>269245.35</w:t>
      </w:r>
      <w:r>
        <w:rPr>
          <w:rFonts w:cs="Times New Roman"/>
        </w:rPr>
        <w:t>m</w:t>
      </w:r>
      <w:r>
        <w:rPr>
          <w:rFonts w:cs="Times New Roman"/>
          <w:vertAlign w:val="superscript"/>
        </w:rPr>
        <w:t>2</w:t>
      </w:r>
      <w:r>
        <w:rPr>
          <w:rFonts w:cs="Times New Roman"/>
        </w:rPr>
        <w:t>，总投资</w:t>
      </w:r>
      <w:r>
        <w:rPr>
          <w:rFonts w:hint="eastAsia" w:cs="Times New Roman"/>
          <w:lang w:val="en-US" w:eastAsia="zh-CN"/>
        </w:rPr>
        <w:t>6400</w:t>
      </w:r>
      <w:r>
        <w:rPr>
          <w:rFonts w:cs="Times New Roman"/>
        </w:rPr>
        <w:t>万元，其中环保投资</w:t>
      </w:r>
      <w:r>
        <w:rPr>
          <w:rFonts w:hint="eastAsia" w:cs="Times New Roman"/>
          <w:lang w:val="en-US" w:eastAsia="zh-CN"/>
        </w:rPr>
        <w:t>1000</w:t>
      </w:r>
      <w:r>
        <w:rPr>
          <w:rFonts w:cs="Times New Roman"/>
        </w:rPr>
        <w:t>万元。</w:t>
      </w:r>
    </w:p>
    <w:p>
      <w:pPr>
        <w:adjustRightInd w:val="0"/>
        <w:snapToGrid w:val="0"/>
        <w:ind w:firstLine="480"/>
        <w:rPr>
          <w:rFonts w:cs="Times New Roman"/>
          <w:color w:val="FF0000"/>
        </w:rPr>
      </w:pPr>
      <w:r>
        <w:rPr>
          <w:rFonts w:hint="eastAsia" w:cs="Times New Roman"/>
          <w:lang w:val="en-US" w:eastAsia="zh-CN"/>
        </w:rPr>
        <w:t>2019</w:t>
      </w:r>
      <w:r>
        <w:rPr>
          <w:rFonts w:cs="Times New Roman"/>
        </w:rPr>
        <w:t>年</w:t>
      </w:r>
      <w:r>
        <w:rPr>
          <w:rFonts w:hint="eastAsia" w:cs="Times New Roman"/>
          <w:lang w:val="en-US" w:eastAsia="zh-CN"/>
        </w:rPr>
        <w:t>6</w:t>
      </w:r>
      <w:r>
        <w:rPr>
          <w:rFonts w:cs="Times New Roman"/>
        </w:rPr>
        <w:t>月，</w:t>
      </w:r>
      <w:r>
        <w:rPr>
          <w:rFonts w:hint="eastAsia" w:eastAsia="宋体" w:cs="Times New Roman"/>
          <w:color w:val="auto"/>
          <w:sz w:val="24"/>
          <w:szCs w:val="24"/>
          <w:lang w:val="en-US" w:eastAsia="zh-CN"/>
        </w:rPr>
        <w:t>广州市环境保护工程设计院有限公司</w:t>
      </w:r>
      <w:r>
        <w:rPr>
          <w:rFonts w:cs="Times New Roman"/>
        </w:rPr>
        <w:t>编制完成了本项目的环境影响报告书</w:t>
      </w:r>
      <w:r>
        <w:rPr>
          <w:rFonts w:hint="eastAsia" w:cs="Times New Roman"/>
        </w:rPr>
        <w:t>。</w:t>
      </w:r>
      <w:r>
        <w:rPr>
          <w:rFonts w:hint="eastAsia" w:cs="Times New Roman"/>
          <w:lang w:val="en-US" w:eastAsia="zh-CN"/>
        </w:rPr>
        <w:t>2019</w:t>
      </w:r>
      <w:r>
        <w:rPr>
          <w:rFonts w:cs="Times New Roman"/>
        </w:rPr>
        <w:t>年</w:t>
      </w:r>
      <w:r>
        <w:rPr>
          <w:rFonts w:hint="eastAsia" w:cs="Times New Roman"/>
          <w:lang w:val="en-US" w:eastAsia="zh-CN"/>
        </w:rPr>
        <w:t>08</w:t>
      </w:r>
      <w:r>
        <w:rPr>
          <w:rFonts w:cs="Times New Roman"/>
        </w:rPr>
        <w:t>月</w:t>
      </w:r>
      <w:r>
        <w:rPr>
          <w:rFonts w:hint="eastAsia" w:cs="Times New Roman"/>
          <w:lang w:val="en-US" w:eastAsia="zh-CN"/>
        </w:rPr>
        <w:t>05</w:t>
      </w:r>
      <w:r>
        <w:rPr>
          <w:rFonts w:cs="Times New Roman"/>
        </w:rPr>
        <w:t>日，</w:t>
      </w:r>
      <w:r>
        <w:rPr>
          <w:rFonts w:hint="eastAsia" w:cs="Times New Roman"/>
          <w:lang w:val="en-US" w:eastAsia="zh-CN"/>
        </w:rPr>
        <w:t>长垣县环境保护局</w:t>
      </w:r>
      <w:r>
        <w:rPr>
          <w:rFonts w:cs="Times New Roman"/>
        </w:rPr>
        <w:t>对该报告</w:t>
      </w:r>
      <w:r>
        <w:rPr>
          <w:rFonts w:hint="eastAsia" w:cs="Times New Roman"/>
        </w:rPr>
        <w:t>书</w:t>
      </w:r>
      <w:r>
        <w:rPr>
          <w:rFonts w:cs="Times New Roman"/>
        </w:rPr>
        <w:t>予以批复（</w:t>
      </w:r>
      <w:r>
        <w:rPr>
          <w:rFonts w:hint="default" w:ascii="Times New Roman" w:hAnsi="Times New Roman" w:eastAsia="宋体" w:cs="Times New Roman"/>
          <w:color w:val="auto"/>
          <w:sz w:val="24"/>
          <w:szCs w:val="24"/>
          <w:lang w:val="en-US" w:eastAsia="zh-CN"/>
        </w:rPr>
        <w:t>长环（20</w:t>
      </w:r>
      <w:r>
        <w:rPr>
          <w:rFonts w:hint="eastAsia" w:eastAsia="宋体"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号</w:t>
      </w:r>
      <w:r>
        <w:rPr>
          <w:rFonts w:cs="Times New Roman"/>
        </w:rPr>
        <w:t>）。</w:t>
      </w:r>
    </w:p>
    <w:p>
      <w:pPr>
        <w:ind w:firstLine="480"/>
        <w:rPr>
          <w:rFonts w:cs="Times New Roman"/>
        </w:rPr>
      </w:pPr>
      <w:r>
        <w:rPr>
          <w:rFonts w:eastAsia="宋体" w:cs="Times New Roman"/>
        </w:rPr>
        <w:t>根据《建设项目竣工环境保护验收技术指南污染影响类》和《建设项目竣工环境保护验收暂行办法》</w:t>
      </w:r>
      <w:r>
        <w:rPr>
          <w:rFonts w:cs="Times New Roman"/>
        </w:rPr>
        <w:t>，</w:t>
      </w:r>
      <w:r>
        <w:rPr>
          <w:rFonts w:hint="default" w:ascii="Times New Roman" w:hAnsi="Times New Roman" w:eastAsia="宋体" w:cs="Times New Roman"/>
          <w:color w:val="auto"/>
          <w:sz w:val="24"/>
          <w:szCs w:val="24"/>
          <w:lang w:val="en-US" w:eastAsia="zh-CN"/>
        </w:rPr>
        <w:t>纽科伦（新乡）起重机有限公司</w:t>
      </w:r>
      <w:r>
        <w:rPr>
          <w:rFonts w:cs="Times New Roman"/>
        </w:rPr>
        <w:t>按照国家有关规范要求，编制完成该项目的验收报告。</w:t>
      </w:r>
    </w:p>
    <w:p>
      <w:pPr>
        <w:ind w:firstLine="480"/>
        <w:rPr>
          <w:rFonts w:cs="Times New Roman"/>
        </w:rPr>
      </w:pPr>
      <w:r>
        <w:rPr>
          <w:rFonts w:cs="Times New Roman"/>
        </w:rPr>
        <w:t>项目概况见下表1-1。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sz w:val="24"/>
          <w:szCs w:val="24"/>
        </w:rPr>
      </w:pPr>
      <w:r>
        <w:rPr>
          <w:rFonts w:eastAsia="黑体" w:cs="Times New Roman"/>
          <w:b/>
          <w:bCs/>
          <w:sz w:val="24"/>
          <w:szCs w:val="24"/>
        </w:rPr>
        <w:t>表1-1   项目概况一览表</w:t>
      </w:r>
    </w:p>
    <w:tbl>
      <w:tblPr>
        <w:tblStyle w:val="21"/>
        <w:tblW w:w="852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279"/>
        <w:gridCol w:w="54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2279"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项目</w:t>
            </w:r>
          </w:p>
        </w:tc>
        <w:tc>
          <w:tcPr>
            <w:tcW w:w="5433"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建设单位</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default" w:cs="Times New Roman"/>
                <w:sz w:val="21"/>
                <w:szCs w:val="21"/>
                <w:lang w:val="en-US" w:eastAsia="zh-CN"/>
              </w:rPr>
              <w:t>纽科伦（新乡）起重机有限公司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项目名称</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t>纽科伦（新乡）起重机有限公司年产2万台起重机、100台立体车库、3万台电动葫芦及配件项目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项目性质</w:t>
            </w:r>
          </w:p>
        </w:tc>
        <w:tc>
          <w:tcPr>
            <w:tcW w:w="5433"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扩建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4</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建设地点</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default" w:cs="Times New Roman"/>
                <w:sz w:val="21"/>
                <w:szCs w:val="21"/>
                <w:lang w:val="en-US" w:eastAsia="zh-CN"/>
              </w:rPr>
              <w:t>长垣市河南起重机工业园区巨人大道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5</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立项文件</w:t>
            </w:r>
          </w:p>
        </w:tc>
        <w:tc>
          <w:tcPr>
            <w:tcW w:w="5433" w:type="dxa"/>
            <w:tcBorders>
              <w:tl2br w:val="nil"/>
              <w:tr2bl w:val="nil"/>
            </w:tcBorders>
            <w:vAlign w:val="center"/>
          </w:tcPr>
          <w:p>
            <w:pPr>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2018-410728-34-03-053572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6</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环评报告书编制单位及完成时间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val="en-US" w:eastAsia="zh-CN"/>
              </w:rPr>
              <w:t>广州市环境保护工程设计院有限公司</w:t>
            </w:r>
            <w:r>
              <w:rPr>
                <w:rFonts w:cs="Times New Roman"/>
                <w:sz w:val="21"/>
                <w:szCs w:val="21"/>
              </w:rPr>
              <w:t xml:space="preserve"> </w:t>
            </w:r>
            <w:r>
              <w:rPr>
                <w:rFonts w:hint="eastAsia" w:cs="Times New Roman"/>
                <w:sz w:val="21"/>
                <w:szCs w:val="21"/>
                <w:lang w:val="en-US" w:eastAsia="zh-CN"/>
              </w:rPr>
              <w:t>2019</w:t>
            </w:r>
            <w:r>
              <w:rPr>
                <w:rFonts w:cs="Times New Roman"/>
                <w:sz w:val="21"/>
                <w:szCs w:val="21"/>
              </w:rPr>
              <w:t>年</w:t>
            </w:r>
            <w:r>
              <w:rPr>
                <w:rFonts w:hint="eastAsia" w:cs="Times New Roman"/>
                <w:sz w:val="21"/>
                <w:szCs w:val="21"/>
                <w:lang w:val="en-US" w:eastAsia="zh-CN"/>
              </w:rPr>
              <w:t>6</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7</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环评审批部门、时间及文号</w:t>
            </w:r>
          </w:p>
        </w:tc>
        <w:tc>
          <w:tcPr>
            <w:tcW w:w="5433" w:type="dxa"/>
            <w:tcBorders>
              <w:tl2br w:val="nil"/>
              <w:tr2bl w:val="nil"/>
            </w:tcBorders>
            <w:vAlign w:val="center"/>
          </w:tcPr>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长垣县环境保护局</w:t>
            </w:r>
          </w:p>
          <w:p>
            <w:pPr>
              <w:spacing w:line="240" w:lineRule="auto"/>
              <w:ind w:firstLine="0" w:firstLineChars="0"/>
              <w:jc w:val="center"/>
              <w:rPr>
                <w:rFonts w:cs="Times New Roman"/>
                <w:sz w:val="21"/>
                <w:szCs w:val="21"/>
              </w:rPr>
            </w:pPr>
            <w:r>
              <w:rPr>
                <w:rFonts w:hint="eastAsia" w:cs="Times New Roman"/>
                <w:sz w:val="21"/>
                <w:szCs w:val="21"/>
                <w:lang w:val="en-US" w:eastAsia="zh-CN"/>
              </w:rPr>
              <w:t>2019</w:t>
            </w:r>
            <w:r>
              <w:rPr>
                <w:rFonts w:cs="Times New Roman"/>
                <w:sz w:val="21"/>
                <w:szCs w:val="21"/>
              </w:rPr>
              <w:t>年</w:t>
            </w:r>
            <w:r>
              <w:rPr>
                <w:rFonts w:hint="eastAsia" w:cs="Times New Roman"/>
                <w:sz w:val="21"/>
                <w:szCs w:val="21"/>
                <w:lang w:val="en-US" w:eastAsia="zh-CN"/>
              </w:rPr>
              <w:t>08</w:t>
            </w:r>
            <w:r>
              <w:rPr>
                <w:rFonts w:cs="Times New Roman"/>
                <w:sz w:val="21"/>
                <w:szCs w:val="21"/>
              </w:rPr>
              <w:t>月</w:t>
            </w:r>
            <w:r>
              <w:rPr>
                <w:rFonts w:hint="eastAsia" w:cs="Times New Roman"/>
                <w:sz w:val="21"/>
                <w:szCs w:val="21"/>
                <w:lang w:val="en-US" w:eastAsia="zh-CN"/>
              </w:rPr>
              <w:t>05</w:t>
            </w:r>
            <w:r>
              <w:rPr>
                <w:rFonts w:cs="Times New Roman"/>
                <w:sz w:val="21"/>
                <w:szCs w:val="21"/>
              </w:rPr>
              <w:t>日（长环（</w:t>
            </w:r>
            <w:r>
              <w:rPr>
                <w:rFonts w:hint="eastAsia" w:cs="Times New Roman"/>
                <w:sz w:val="21"/>
                <w:szCs w:val="21"/>
                <w:lang w:val="en-US" w:eastAsia="zh-CN"/>
              </w:rPr>
              <w:t>2019</w:t>
            </w:r>
            <w:r>
              <w:rPr>
                <w:rFonts w:cs="Times New Roman"/>
                <w:sz w:val="21"/>
                <w:szCs w:val="21"/>
              </w:rPr>
              <w:t>）</w:t>
            </w:r>
            <w:r>
              <w:rPr>
                <w:rFonts w:hint="eastAsia" w:cs="Times New Roman"/>
                <w:sz w:val="21"/>
                <w:szCs w:val="21"/>
                <w:lang w:val="en-US" w:eastAsia="zh-CN"/>
              </w:rPr>
              <w:t>32</w:t>
            </w:r>
            <w:r>
              <w:rPr>
                <w:rFonts w:cs="Times New Roman"/>
                <w:sz w:val="21"/>
                <w:szCs w:val="21"/>
              </w:rPr>
              <w:t>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8</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项目开工日期</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r>
              <w:rPr>
                <w:rFonts w:hint="eastAsia" w:cs="Times New Roman"/>
                <w:sz w:val="21"/>
                <w:szCs w:val="21"/>
                <w:lang w:val="en-US" w:eastAsia="zh-CN"/>
              </w:rPr>
              <w:t>19</w:t>
            </w:r>
            <w:r>
              <w:rPr>
                <w:rFonts w:cs="Times New Roman"/>
                <w:sz w:val="21"/>
                <w:szCs w:val="21"/>
              </w:rPr>
              <w:t>年</w:t>
            </w:r>
            <w:r>
              <w:rPr>
                <w:rFonts w:hint="eastAsia" w:cs="Times New Roman"/>
                <w:sz w:val="21"/>
                <w:szCs w:val="21"/>
                <w:lang w:val="en-US" w:eastAsia="zh-CN"/>
              </w:rPr>
              <w:t>09</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9</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项目竣工日期</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r>
              <w:rPr>
                <w:rFonts w:hint="eastAsia" w:cs="Times New Roman"/>
                <w:sz w:val="21"/>
                <w:szCs w:val="21"/>
                <w:lang w:val="en-US" w:eastAsia="zh-CN"/>
              </w:rPr>
              <w:t>23</w:t>
            </w:r>
            <w:r>
              <w:rPr>
                <w:rFonts w:cs="Times New Roman"/>
                <w:sz w:val="21"/>
                <w:szCs w:val="21"/>
              </w:rPr>
              <w:t>年</w:t>
            </w:r>
            <w:r>
              <w:rPr>
                <w:rFonts w:hint="eastAsia" w:cs="Times New Roman"/>
                <w:sz w:val="21"/>
                <w:szCs w:val="21"/>
                <w:lang w:val="en-US" w:eastAsia="zh-CN"/>
              </w:rPr>
              <w:t>03</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10</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调试时间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20</w:t>
            </w:r>
            <w:r>
              <w:rPr>
                <w:rFonts w:hint="eastAsia" w:cs="Times New Roman"/>
                <w:sz w:val="21"/>
                <w:szCs w:val="21"/>
                <w:lang w:val="en-US" w:eastAsia="zh-CN"/>
              </w:rPr>
              <w:t>23</w:t>
            </w:r>
            <w:r>
              <w:rPr>
                <w:rFonts w:cs="Times New Roman"/>
                <w:sz w:val="21"/>
                <w:szCs w:val="21"/>
              </w:rPr>
              <w:t>年</w:t>
            </w:r>
            <w:r>
              <w:rPr>
                <w:rFonts w:hint="eastAsia" w:cs="Times New Roman"/>
                <w:sz w:val="21"/>
                <w:szCs w:val="21"/>
                <w:lang w:val="en-US" w:eastAsia="zh-CN"/>
              </w:rPr>
              <w:t>03</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11</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验收工作组织与启动时间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建设单位组织验收时间：</w:t>
            </w:r>
            <w:r>
              <w:rPr>
                <w:rFonts w:hint="eastAsia" w:cs="Times New Roman"/>
                <w:sz w:val="21"/>
                <w:szCs w:val="21"/>
                <w:lang w:val="en-US" w:eastAsia="zh-CN"/>
              </w:rPr>
              <w:t>2023</w:t>
            </w:r>
            <w:r>
              <w:rPr>
                <w:rFonts w:cs="Times New Roman"/>
                <w:sz w:val="21"/>
                <w:szCs w:val="21"/>
              </w:rPr>
              <w:t>年</w:t>
            </w:r>
            <w:r>
              <w:rPr>
                <w:rFonts w:hint="eastAsia" w:cs="Times New Roman"/>
                <w:sz w:val="21"/>
                <w:szCs w:val="21"/>
                <w:lang w:val="en-US" w:eastAsia="zh-CN"/>
              </w:rPr>
              <w:t>04</w:t>
            </w:r>
            <w:r>
              <w:rPr>
                <w:rFonts w:cs="Times New Roman"/>
                <w:sz w:val="21"/>
                <w:szCs w:val="21"/>
              </w:rPr>
              <w:t>月</w:t>
            </w:r>
          </w:p>
          <w:p>
            <w:pPr>
              <w:spacing w:line="240" w:lineRule="auto"/>
              <w:ind w:firstLine="0" w:firstLineChars="0"/>
              <w:jc w:val="center"/>
              <w:rPr>
                <w:rFonts w:cs="Times New Roman"/>
                <w:sz w:val="21"/>
                <w:szCs w:val="21"/>
              </w:rPr>
            </w:pPr>
            <w:r>
              <w:rPr>
                <w:rFonts w:cs="Times New Roman"/>
                <w:sz w:val="21"/>
                <w:szCs w:val="21"/>
              </w:rPr>
              <w:t>验收工作启动时间：</w:t>
            </w:r>
            <w:r>
              <w:rPr>
                <w:rFonts w:hint="eastAsia" w:cs="Times New Roman"/>
                <w:sz w:val="21"/>
                <w:szCs w:val="21"/>
                <w:lang w:val="en-US" w:eastAsia="zh-CN"/>
              </w:rPr>
              <w:t>2023</w:t>
            </w:r>
            <w:r>
              <w:rPr>
                <w:rFonts w:cs="Times New Roman"/>
                <w:sz w:val="21"/>
                <w:szCs w:val="21"/>
              </w:rPr>
              <w:t>年</w:t>
            </w:r>
            <w:r>
              <w:rPr>
                <w:rFonts w:hint="eastAsia" w:cs="Times New Roman"/>
                <w:sz w:val="21"/>
                <w:szCs w:val="21"/>
                <w:lang w:val="en-US" w:eastAsia="zh-CN"/>
              </w:rPr>
              <w:t>04</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lang w:val="en-US" w:eastAsia="zh-CN"/>
              </w:rPr>
              <w:t>2</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是否编制了验收监测方案及时间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 xml:space="preserve">是， </w:t>
            </w:r>
            <w:r>
              <w:rPr>
                <w:rFonts w:hint="eastAsia" w:cs="Times New Roman"/>
                <w:sz w:val="21"/>
                <w:szCs w:val="21"/>
                <w:lang w:val="en-US" w:eastAsia="zh-CN"/>
              </w:rPr>
              <w:t>2023</w:t>
            </w:r>
            <w:r>
              <w:rPr>
                <w:rFonts w:cs="Times New Roman"/>
                <w:sz w:val="21"/>
                <w:szCs w:val="21"/>
              </w:rPr>
              <w:t>年</w:t>
            </w:r>
            <w:r>
              <w:rPr>
                <w:rFonts w:hint="eastAsia" w:cs="Times New Roman"/>
                <w:sz w:val="21"/>
                <w:szCs w:val="21"/>
                <w:lang w:val="en-US" w:eastAsia="zh-CN"/>
              </w:rPr>
              <w:t>04</w:t>
            </w:r>
            <w:r>
              <w:rPr>
                <w:rFonts w:cs="Times New Roman"/>
                <w:sz w:val="21"/>
                <w:szCs w:val="21"/>
              </w:rPr>
              <w:t>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lang w:val="en-US" w:eastAsia="zh-CN"/>
              </w:rPr>
              <w:t>3</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现场验收监测时间</w:t>
            </w:r>
          </w:p>
        </w:tc>
        <w:tc>
          <w:tcPr>
            <w:tcW w:w="5433" w:type="dxa"/>
            <w:tcBorders>
              <w:tl2br w:val="nil"/>
              <w:tr2bl w:val="nil"/>
            </w:tcBorders>
            <w:vAlign w:val="center"/>
          </w:tcPr>
          <w:p>
            <w:pPr>
              <w:spacing w:line="240" w:lineRule="auto"/>
              <w:ind w:firstLine="0" w:firstLineChars="0"/>
              <w:jc w:val="center"/>
              <w:rPr>
                <w:rFonts w:hint="default" w:cs="Times New Roman"/>
                <w:sz w:val="21"/>
                <w:szCs w:val="21"/>
                <w:lang w:val="en-US"/>
              </w:rPr>
            </w:pPr>
            <w:r>
              <w:rPr>
                <w:rFonts w:hint="eastAsia" w:cs="Times New Roman"/>
                <w:color w:val="000000" w:themeColor="text1"/>
                <w:sz w:val="21"/>
                <w:szCs w:val="21"/>
                <w:lang w:val="en-US" w:eastAsia="zh-CN"/>
                <w14:textFill>
                  <w14:solidFill>
                    <w14:schemeClr w14:val="tx1"/>
                  </w14:solidFill>
                </w14:textFill>
              </w:rPr>
              <w:t>2023.03.27</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2023.03.28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817"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lang w:val="en-US" w:eastAsia="zh-CN"/>
              </w:rPr>
              <w:t>4</w:t>
            </w:r>
          </w:p>
        </w:tc>
        <w:tc>
          <w:tcPr>
            <w:tcW w:w="2279"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验收范围</w:t>
            </w:r>
          </w:p>
        </w:tc>
        <w:tc>
          <w:tcPr>
            <w:tcW w:w="5433" w:type="dxa"/>
            <w:tcBorders>
              <w:tl2br w:val="nil"/>
              <w:tr2bl w:val="nil"/>
            </w:tcBorders>
            <w:vAlign w:val="center"/>
          </w:tcPr>
          <w:p>
            <w:pPr>
              <w:spacing w:line="240" w:lineRule="auto"/>
              <w:ind w:firstLine="0" w:firstLineChars="0"/>
              <w:jc w:val="center"/>
              <w:rPr>
                <w:rFonts w:cs="Times New Roman"/>
                <w:sz w:val="21"/>
                <w:szCs w:val="21"/>
              </w:rPr>
            </w:pPr>
            <w:r>
              <w:rPr>
                <w:rFonts w:hint="default" w:cs="Times New Roman"/>
                <w:sz w:val="21"/>
                <w:szCs w:val="21"/>
                <w:lang w:val="en-US" w:eastAsia="zh-CN"/>
              </w:rPr>
              <w:t>本项目主体工程、辅助工程、生产设备的实际建设情况和环保设施建设、运行及环保要求落实情况等</w:t>
            </w:r>
          </w:p>
        </w:tc>
      </w:tr>
    </w:tbl>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18" w:name="_Toc2852"/>
      <w:bookmarkStart w:id="19" w:name="_Toc22154"/>
      <w:bookmarkStart w:id="20" w:name="_Toc2134"/>
      <w:bookmarkStart w:id="21" w:name="_Toc8059"/>
      <w:bookmarkStart w:id="22" w:name="_Toc8479"/>
      <w:bookmarkStart w:id="23" w:name="_Toc19537"/>
      <w:bookmarkStart w:id="24" w:name="_Toc2032"/>
      <w:bookmarkStart w:id="25" w:name="_Toc24462"/>
      <w:bookmarkStart w:id="26" w:name="_Toc11699"/>
      <w:bookmarkStart w:id="27" w:name="_Toc14739"/>
      <w:bookmarkStart w:id="28" w:name="_Toc10251"/>
      <w:r>
        <w:rPr>
          <w:rFonts w:cs="Times New Roman"/>
        </w:rPr>
        <w:t>2 验收依据</w:t>
      </w:r>
      <w:bookmarkEnd w:id="18"/>
      <w:bookmarkEnd w:id="19"/>
      <w:bookmarkEnd w:id="20"/>
      <w:bookmarkEnd w:id="21"/>
      <w:bookmarkEnd w:id="22"/>
      <w:bookmarkEnd w:id="23"/>
      <w:bookmarkEnd w:id="24"/>
      <w:bookmarkEnd w:id="25"/>
      <w:bookmarkEnd w:id="26"/>
      <w:bookmarkEnd w:id="27"/>
      <w:bookmarkEnd w:id="28"/>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29" w:name="_Toc11072"/>
      <w:bookmarkStart w:id="30" w:name="_Toc17505"/>
      <w:bookmarkStart w:id="31" w:name="_Toc18400"/>
      <w:bookmarkStart w:id="32" w:name="_Toc937"/>
      <w:bookmarkStart w:id="33" w:name="_Toc23028"/>
      <w:bookmarkStart w:id="34" w:name="_Toc24342"/>
      <w:bookmarkStart w:id="35" w:name="_Toc5475"/>
      <w:bookmarkStart w:id="36" w:name="_Toc5539"/>
      <w:bookmarkStart w:id="37" w:name="_Toc138"/>
      <w:bookmarkStart w:id="38" w:name="_Toc31448"/>
      <w:bookmarkStart w:id="39" w:name="_Toc31032"/>
      <w:bookmarkStart w:id="40" w:name="_Toc957"/>
      <w:r>
        <w:rPr>
          <w:rFonts w:cs="Times New Roman"/>
        </w:rPr>
        <w:t>2.1 建设项目环境保护相关法律、法规、规章和规范</w:t>
      </w:r>
      <w:bookmarkEnd w:id="29"/>
      <w:bookmarkEnd w:id="30"/>
      <w:bookmarkEnd w:id="31"/>
      <w:bookmarkEnd w:id="32"/>
      <w:bookmarkEnd w:id="33"/>
      <w:bookmarkEnd w:id="34"/>
      <w:bookmarkEnd w:id="35"/>
      <w:bookmarkEnd w:id="36"/>
      <w:bookmarkEnd w:id="37"/>
      <w:bookmarkEnd w:id="38"/>
      <w:bookmarkEnd w:id="39"/>
      <w:bookmarkEnd w:id="40"/>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bookmarkStart w:id="41" w:name="_Toc22150"/>
      <w:bookmarkStart w:id="42" w:name="_Toc21332"/>
      <w:bookmarkStart w:id="43" w:name="_Toc6840"/>
      <w:bookmarkStart w:id="44" w:name="_Toc19261"/>
      <w:bookmarkStart w:id="45" w:name="_Toc11212"/>
      <w:bookmarkStart w:id="46" w:name="_Toc17164"/>
      <w:bookmarkStart w:id="47" w:name="_Toc29759"/>
      <w:bookmarkStart w:id="48" w:name="_Toc18173"/>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《中华人民共和国环境噪声污染防治法》(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2021.12.25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（8）《危险废物贮存污染控制标准》GB18597-2001（2013年修订）；</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一般工业固体废物贮存和填埋污染控制标准</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GB18599-20</w:t>
      </w:r>
      <w:r>
        <w:rPr>
          <w:rFonts w:hint="eastAsia" w:ascii="Times New Roman" w:hAnsi="Times New Roman" w:eastAsia="宋体" w:cs="Times New Roman"/>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pageBreakBefore w:val="0"/>
        <w:widowControl/>
        <w:kinsoku/>
        <w:wordWrap/>
        <w:overflowPunct/>
        <w:topLinePunct w:val="0"/>
        <w:autoSpaceDE/>
        <w:autoSpaceDN/>
        <w:bidi w:val="0"/>
        <w:adjustRightInd w:val="0"/>
        <w:snapToGrid w:val="0"/>
        <w:spacing w:line="520" w:lineRule="exact"/>
        <w:ind w:firstLine="480"/>
        <w:textAlignment w:val="auto"/>
        <w:rPr>
          <w:rFonts w:cs="Times New Roma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r>
        <w:rPr>
          <w:rFonts w:hint="eastAsia" w:cs="Times New Roman"/>
        </w:rPr>
        <w:t>。</w:t>
      </w:r>
    </w:p>
    <w:p>
      <w:pPr>
        <w:pStyle w:val="3"/>
        <w:pageBreakBefore w:val="0"/>
        <w:kinsoku/>
        <w:wordWrap/>
        <w:overflowPunct/>
        <w:topLinePunct w:val="0"/>
        <w:autoSpaceDE/>
        <w:autoSpaceDN/>
        <w:bidi w:val="0"/>
        <w:spacing w:beforeLines="0" w:afterLines="0" w:line="520" w:lineRule="exact"/>
        <w:textAlignment w:val="auto"/>
        <w:rPr>
          <w:rFonts w:cs="Times New Roman"/>
        </w:rPr>
      </w:pPr>
      <w:bookmarkStart w:id="49" w:name="_Toc3301"/>
      <w:bookmarkStart w:id="50" w:name="_Toc1212"/>
      <w:r>
        <w:rPr>
          <w:rFonts w:cs="Times New Roman"/>
        </w:rPr>
        <w:t>2.2 建设项目竣工环境保护验收技术规范</w:t>
      </w:r>
      <w:bookmarkEnd w:id="41"/>
      <w:bookmarkEnd w:id="42"/>
      <w:bookmarkEnd w:id="43"/>
      <w:bookmarkEnd w:id="44"/>
      <w:bookmarkEnd w:id="45"/>
      <w:bookmarkEnd w:id="46"/>
      <w:bookmarkEnd w:id="47"/>
      <w:bookmarkEnd w:id="48"/>
      <w:bookmarkEnd w:id="49"/>
      <w:bookmarkEnd w:id="50"/>
    </w:p>
    <w:p>
      <w:pPr>
        <w:pageBreakBefore w:val="0"/>
        <w:kinsoku/>
        <w:wordWrap/>
        <w:overflowPunct/>
        <w:topLinePunct w:val="0"/>
        <w:autoSpaceDE/>
        <w:autoSpaceDN/>
        <w:bidi w:val="0"/>
        <w:spacing w:line="520" w:lineRule="exact"/>
        <w:ind w:firstLine="480"/>
        <w:textAlignment w:val="auto"/>
        <w:rPr>
          <w:rFonts w:cs="Times New Roman"/>
        </w:rPr>
      </w:pPr>
      <w:r>
        <w:rPr>
          <w:rFonts w:cs="Times New Roman"/>
        </w:rPr>
        <w:t>（1）《建设项目竣工环境保护验收技术指南 污染影响类》（2018.5.16）；</w:t>
      </w:r>
    </w:p>
    <w:p>
      <w:pPr>
        <w:pageBreakBefore w:val="0"/>
        <w:kinsoku/>
        <w:wordWrap/>
        <w:overflowPunct/>
        <w:topLinePunct w:val="0"/>
        <w:autoSpaceDE/>
        <w:autoSpaceDN/>
        <w:bidi w:val="0"/>
        <w:spacing w:line="520" w:lineRule="exact"/>
        <w:ind w:firstLine="480"/>
        <w:textAlignment w:val="auto"/>
        <w:rPr>
          <w:rFonts w:cs="Times New Roman"/>
        </w:rPr>
      </w:pPr>
      <w:r>
        <w:rPr>
          <w:rFonts w:cs="Times New Roman"/>
        </w:rPr>
        <w:t>（2）《建设项目竣工环境保护验收暂行办法》（2017.11.20）。</w:t>
      </w:r>
    </w:p>
    <w:p>
      <w:pPr>
        <w:pStyle w:val="3"/>
        <w:pageBreakBefore w:val="0"/>
        <w:kinsoku/>
        <w:wordWrap/>
        <w:overflowPunct/>
        <w:topLinePunct w:val="0"/>
        <w:autoSpaceDE/>
        <w:autoSpaceDN/>
        <w:bidi w:val="0"/>
        <w:spacing w:beforeLines="0" w:afterLines="0" w:line="520" w:lineRule="exact"/>
        <w:textAlignment w:val="auto"/>
        <w:rPr>
          <w:rFonts w:cs="Times New Roman"/>
        </w:rPr>
      </w:pPr>
      <w:bookmarkStart w:id="51" w:name="_Toc25399"/>
      <w:bookmarkStart w:id="52" w:name="_Toc30231"/>
      <w:bookmarkStart w:id="53" w:name="_Toc32690"/>
      <w:bookmarkStart w:id="54" w:name="_Toc17465"/>
      <w:bookmarkStart w:id="55" w:name="_Toc28815"/>
      <w:bookmarkStart w:id="56" w:name="_Toc32191"/>
      <w:bookmarkStart w:id="57" w:name="_Toc18117"/>
      <w:bookmarkStart w:id="58" w:name="_Toc11849"/>
      <w:bookmarkStart w:id="59" w:name="_Toc31381"/>
      <w:bookmarkStart w:id="60" w:name="_Toc27765"/>
      <w:r>
        <w:rPr>
          <w:rFonts w:cs="Times New Roman"/>
        </w:rPr>
        <w:t>2.3 建设项目环境影响</w:t>
      </w:r>
      <w:r>
        <w:rPr>
          <w:rFonts w:hint="eastAsia" w:cs="Times New Roman"/>
        </w:rPr>
        <w:t>报告书</w:t>
      </w:r>
      <w:r>
        <w:rPr>
          <w:rFonts w:cs="Times New Roman"/>
        </w:rPr>
        <w:t>及审批部门审批决定</w:t>
      </w:r>
      <w:bookmarkEnd w:id="51"/>
      <w:bookmarkEnd w:id="52"/>
      <w:bookmarkEnd w:id="53"/>
      <w:bookmarkEnd w:id="54"/>
      <w:bookmarkEnd w:id="55"/>
      <w:bookmarkEnd w:id="56"/>
      <w:bookmarkEnd w:id="57"/>
      <w:bookmarkEnd w:id="58"/>
      <w:bookmarkEnd w:id="59"/>
      <w:bookmarkEnd w:id="60"/>
    </w:p>
    <w:p>
      <w:pPr>
        <w:pageBreakBefore w:val="0"/>
        <w:kinsoku/>
        <w:wordWrap/>
        <w:overflowPunct/>
        <w:topLinePunct w:val="0"/>
        <w:autoSpaceDE/>
        <w:autoSpaceDN/>
        <w:bidi w:val="0"/>
        <w:spacing w:line="520" w:lineRule="exact"/>
        <w:ind w:firstLine="480"/>
        <w:textAlignment w:val="auto"/>
        <w:rPr>
          <w:rFonts w:cs="Times New Roman"/>
        </w:rPr>
      </w:pPr>
      <w:r>
        <w:rPr>
          <w:rFonts w:cs="Times New Roman"/>
        </w:rPr>
        <w:t>（1）《</w:t>
      </w:r>
      <w:r>
        <w:t>纽科伦（新乡）起重机有限公司年产2万台起重机、100台立体车库、3万台电动葫芦及配件项目</w:t>
      </w:r>
      <w:r>
        <w:rPr>
          <w:rFonts w:hint="eastAsia" w:cs="Times New Roman"/>
        </w:rPr>
        <w:t>环境影响报告书</w:t>
      </w:r>
      <w:r>
        <w:rPr>
          <w:rFonts w:cs="Times New Roman"/>
        </w:rPr>
        <w:t>》</w:t>
      </w:r>
      <w:r>
        <w:rPr>
          <w:rFonts w:hint="eastAsia" w:cs="Times New Roman"/>
        </w:rPr>
        <w:t>（</w:t>
      </w:r>
      <w:r>
        <w:rPr>
          <w:rFonts w:hint="eastAsia" w:cs="Times New Roman"/>
          <w:sz w:val="24"/>
          <w:szCs w:val="24"/>
          <w:lang w:val="en-US" w:eastAsia="zh-CN"/>
        </w:rPr>
        <w:t>广州市环境保护工程设计院有限公司</w:t>
      </w:r>
      <w:r>
        <w:rPr>
          <w:rFonts w:hint="eastAsia" w:cs="Times New Roman"/>
          <w:sz w:val="24"/>
          <w:szCs w:val="24"/>
        </w:rPr>
        <w:t>，20</w:t>
      </w:r>
      <w:r>
        <w:rPr>
          <w:rFonts w:hint="eastAsia" w:cs="Times New Roman"/>
          <w:sz w:val="24"/>
          <w:szCs w:val="24"/>
          <w:lang w:val="en-US" w:eastAsia="zh-CN"/>
        </w:rPr>
        <w:t>19</w:t>
      </w:r>
      <w:r>
        <w:rPr>
          <w:rFonts w:hint="eastAsia" w:cs="Times New Roman"/>
          <w:sz w:val="24"/>
          <w:szCs w:val="24"/>
        </w:rPr>
        <w:t>年</w:t>
      </w:r>
      <w:r>
        <w:rPr>
          <w:rFonts w:hint="eastAsia" w:cs="Times New Roman"/>
          <w:sz w:val="24"/>
          <w:szCs w:val="24"/>
          <w:lang w:val="en-US" w:eastAsia="zh-CN"/>
        </w:rPr>
        <w:t>6</w:t>
      </w:r>
      <w:r>
        <w:rPr>
          <w:rFonts w:hint="eastAsia" w:cs="Times New Roman"/>
          <w:sz w:val="24"/>
          <w:szCs w:val="24"/>
        </w:rPr>
        <w:t>月</w:t>
      </w:r>
      <w:r>
        <w:rPr>
          <w:rFonts w:hint="eastAsia" w:cs="Times New Roman"/>
        </w:rPr>
        <w:t>）；</w:t>
      </w:r>
    </w:p>
    <w:p>
      <w:pPr>
        <w:pageBreakBefore w:val="0"/>
        <w:kinsoku/>
        <w:wordWrap/>
        <w:overflowPunct/>
        <w:topLinePunct w:val="0"/>
        <w:autoSpaceDE/>
        <w:autoSpaceDN/>
        <w:bidi w:val="0"/>
        <w:spacing w:line="520" w:lineRule="exact"/>
        <w:ind w:firstLine="480"/>
        <w:textAlignment w:val="auto"/>
        <w:rPr>
          <w:rFonts w:hint="eastAsia" w:cs="Times New Roman"/>
        </w:rPr>
      </w:pPr>
      <w:r>
        <w:rPr>
          <w:rFonts w:cs="Times New Roman"/>
        </w:rPr>
        <w:t>（2）</w:t>
      </w:r>
      <w:r>
        <w:rPr>
          <w:rFonts w:hint="eastAsia" w:cs="Times New Roman"/>
          <w:lang w:val="en-US" w:eastAsia="zh-CN"/>
        </w:rPr>
        <w:t>长垣县环境保护局</w:t>
      </w:r>
      <w:r>
        <w:rPr>
          <w:rFonts w:hint="eastAsia" w:cs="Times New Roman"/>
        </w:rPr>
        <w:t>关于</w:t>
      </w:r>
      <w:r>
        <w:rPr>
          <w:rFonts w:cs="Times New Roman"/>
        </w:rPr>
        <w:t>《</w:t>
      </w:r>
      <w:r>
        <w:t>纽科伦（新乡）起重机有限公司年产2万台起重机、100台立体车库、3万台电动葫芦及配件项目</w:t>
      </w:r>
      <w:r>
        <w:rPr>
          <w:rFonts w:hint="eastAsia" w:cs="Times New Roman"/>
        </w:rPr>
        <w:t>环境影响报告书</w:t>
      </w:r>
      <w:r>
        <w:rPr>
          <w:rFonts w:cs="Times New Roman"/>
        </w:rPr>
        <w:t>》的批复</w:t>
      </w:r>
      <w:r>
        <w:rPr>
          <w:rFonts w:hint="eastAsia" w:cs="Times New Roman"/>
        </w:rPr>
        <w:t>意见（</w:t>
      </w:r>
      <w:r>
        <w:rPr>
          <w:rFonts w:cs="Times New Roman"/>
        </w:rPr>
        <w:t>长环（</w:t>
      </w:r>
      <w:r>
        <w:rPr>
          <w:rFonts w:hint="eastAsia" w:cs="Times New Roman"/>
          <w:lang w:val="en-US" w:eastAsia="zh-CN"/>
        </w:rPr>
        <w:t>2019</w:t>
      </w:r>
      <w:r>
        <w:rPr>
          <w:rFonts w:cs="Times New Roman"/>
        </w:rPr>
        <w:t>）</w:t>
      </w:r>
      <w:r>
        <w:rPr>
          <w:rFonts w:hint="eastAsia" w:cs="Times New Roman"/>
          <w:lang w:val="en-US" w:eastAsia="zh-CN"/>
        </w:rPr>
        <w:t>32</w:t>
      </w:r>
      <w:r>
        <w:rPr>
          <w:rFonts w:cs="Times New Roman"/>
        </w:rPr>
        <w:t>号，</w:t>
      </w:r>
      <w:r>
        <w:rPr>
          <w:rFonts w:hint="eastAsia" w:cs="Times New Roman"/>
          <w:lang w:val="en-US" w:eastAsia="zh-CN"/>
        </w:rPr>
        <w:t>2019</w:t>
      </w:r>
      <w:r>
        <w:rPr>
          <w:rFonts w:cs="Times New Roman"/>
        </w:rPr>
        <w:t>年</w:t>
      </w:r>
      <w:r>
        <w:rPr>
          <w:rFonts w:hint="eastAsia" w:cs="Times New Roman"/>
          <w:lang w:val="en-US" w:eastAsia="zh-CN"/>
        </w:rPr>
        <w:t>08</w:t>
      </w:r>
      <w:r>
        <w:rPr>
          <w:rFonts w:cs="Times New Roman"/>
        </w:rPr>
        <w:t>月</w:t>
      </w:r>
      <w:r>
        <w:rPr>
          <w:rFonts w:hint="eastAsia" w:cs="Times New Roman"/>
          <w:lang w:val="en-US" w:eastAsia="zh-CN"/>
        </w:rPr>
        <w:t>05</w:t>
      </w:r>
      <w:r>
        <w:rPr>
          <w:rFonts w:cs="Times New Roman"/>
        </w:rPr>
        <w:t>日</w:t>
      </w:r>
      <w:r>
        <w:rPr>
          <w:rFonts w:hint="eastAsia" w:cs="Times New Roman"/>
        </w:rPr>
        <w:t>。</w:t>
      </w:r>
    </w:p>
    <w:p>
      <w:pPr>
        <w:pageBreakBefore w:val="0"/>
        <w:kinsoku/>
        <w:wordWrap/>
        <w:overflowPunct/>
        <w:topLinePunct w:val="0"/>
        <w:autoSpaceDE/>
        <w:autoSpaceDN/>
        <w:bidi w:val="0"/>
        <w:spacing w:line="520" w:lineRule="exact"/>
        <w:ind w:firstLine="480"/>
        <w:textAlignment w:val="auto"/>
        <w:rPr>
          <w:rFonts w:hint="eastAsia" w:cs="Times New Roman" w:eastAsiaTheme="minorEastAsia"/>
          <w:color w:val="FF0000"/>
          <w:lang w:val="en-US" w:eastAsia="zh-CN"/>
        </w:rPr>
      </w:pPr>
    </w:p>
    <w:p>
      <w:pPr>
        <w:pStyle w:val="2"/>
        <w:pageBreakBefore w:val="0"/>
        <w:widowControl w:val="0"/>
        <w:kinsoku/>
        <w:wordWrap/>
        <w:overflowPunct/>
        <w:topLinePunct w:val="0"/>
        <w:autoSpaceDE/>
        <w:autoSpaceDN/>
        <w:bidi w:val="0"/>
        <w:spacing w:beforeLines="0" w:afterLines="0" w:line="520" w:lineRule="exact"/>
        <w:textAlignment w:val="auto"/>
        <w:rPr>
          <w:rFonts w:cs="Times New Roman"/>
        </w:rPr>
      </w:pPr>
      <w:bookmarkStart w:id="61" w:name="_Toc7603"/>
      <w:bookmarkStart w:id="62" w:name="_Toc29274"/>
      <w:bookmarkStart w:id="63" w:name="_Toc6341"/>
      <w:bookmarkStart w:id="64" w:name="_Toc22253"/>
      <w:bookmarkStart w:id="65" w:name="_Toc8520"/>
      <w:bookmarkStart w:id="66" w:name="_Toc21274"/>
      <w:bookmarkStart w:id="67" w:name="_Toc29512"/>
      <w:bookmarkStart w:id="68" w:name="_Toc14342"/>
      <w:bookmarkStart w:id="69" w:name="_Toc17407"/>
      <w:bookmarkStart w:id="70" w:name="_Toc9111"/>
      <w:bookmarkStart w:id="71" w:name="_Toc14801"/>
      <w:bookmarkStart w:id="72" w:name="_Toc14414"/>
      <w:r>
        <w:rPr>
          <w:rFonts w:cs="Times New Roman"/>
        </w:rPr>
        <w:t>3工程建设情况</w:t>
      </w:r>
      <w:bookmarkEnd w:id="61"/>
      <w:bookmarkEnd w:id="62"/>
      <w:bookmarkEnd w:id="63"/>
      <w:bookmarkEnd w:id="64"/>
      <w:bookmarkEnd w:id="65"/>
      <w:bookmarkEnd w:id="66"/>
      <w:bookmarkEnd w:id="67"/>
      <w:bookmarkEnd w:id="68"/>
      <w:bookmarkEnd w:id="69"/>
      <w:bookmarkEnd w:id="70"/>
      <w:bookmarkEnd w:id="71"/>
      <w:bookmarkEnd w:id="72"/>
    </w:p>
    <w:p>
      <w:pPr>
        <w:pStyle w:val="3"/>
        <w:pageBreakBefore w:val="0"/>
        <w:widowControl w:val="0"/>
        <w:kinsoku/>
        <w:wordWrap/>
        <w:overflowPunct/>
        <w:topLinePunct w:val="0"/>
        <w:autoSpaceDE/>
        <w:autoSpaceDN/>
        <w:bidi w:val="0"/>
        <w:spacing w:beforeLines="0" w:afterLines="0" w:line="520" w:lineRule="exact"/>
        <w:textAlignment w:val="auto"/>
        <w:rPr>
          <w:rFonts w:cs="Times New Roman"/>
        </w:rPr>
      </w:pPr>
      <w:bookmarkStart w:id="73" w:name="_Toc14147"/>
      <w:bookmarkStart w:id="74" w:name="_Toc24197"/>
      <w:bookmarkStart w:id="75" w:name="_Toc7775"/>
      <w:bookmarkStart w:id="76" w:name="_Toc30636"/>
      <w:bookmarkStart w:id="77" w:name="_Toc5376"/>
      <w:bookmarkStart w:id="78" w:name="_Toc6575"/>
      <w:bookmarkStart w:id="79" w:name="_Toc32757"/>
      <w:bookmarkStart w:id="80" w:name="_Toc29800"/>
      <w:bookmarkStart w:id="81" w:name="_Toc3572"/>
      <w:bookmarkStart w:id="82" w:name="_Toc28265"/>
      <w:bookmarkStart w:id="83" w:name="_Toc24920"/>
      <w:bookmarkStart w:id="84" w:name="_Toc12241"/>
      <w:r>
        <w:rPr>
          <w:rFonts w:cs="Times New Roman"/>
        </w:rPr>
        <w:t>3.1 地理位置及平面布置</w:t>
      </w:r>
      <w:bookmarkEnd w:id="73"/>
      <w:bookmarkEnd w:id="74"/>
      <w:bookmarkEnd w:id="75"/>
      <w:bookmarkEnd w:id="76"/>
      <w:bookmarkEnd w:id="77"/>
      <w:bookmarkEnd w:id="78"/>
      <w:bookmarkEnd w:id="79"/>
      <w:bookmarkEnd w:id="80"/>
      <w:bookmarkEnd w:id="81"/>
      <w:bookmarkEnd w:id="82"/>
      <w:bookmarkEnd w:id="83"/>
      <w:bookmarkEnd w:id="84"/>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outlineLvl w:val="9"/>
        <w:rPr>
          <w:rFonts w:hint="eastAsia" w:cs="Times New Roman" w:eastAsiaTheme="minorEastAsia"/>
          <w:lang w:eastAsia="zh-CN"/>
        </w:rPr>
      </w:pPr>
      <w:r>
        <w:rPr>
          <w:rFonts w:cs="Times New Roman"/>
        </w:rPr>
        <w:t>本项目位于</w:t>
      </w:r>
      <w:r>
        <w:rPr>
          <w:rFonts w:hint="default" w:cs="Times New Roman"/>
          <w:lang w:val="en-US" w:eastAsia="zh-CN"/>
        </w:rPr>
        <w:t>长垣市河南起重机工业园区巨人大道</w:t>
      </w:r>
      <w:r>
        <w:rPr>
          <w:rFonts w:cs="Times New Roman"/>
        </w:rPr>
        <w:t>。</w:t>
      </w:r>
      <w:r>
        <w:rPr>
          <w:rFonts w:hint="eastAsia" w:cs="Times New Roman"/>
        </w:rPr>
        <w:t>北侧为</w:t>
      </w:r>
      <w:r>
        <w:rPr>
          <w:rFonts w:hint="eastAsia" w:cs="Times New Roman"/>
          <w:lang w:val="en-US" w:eastAsia="zh-CN"/>
        </w:rPr>
        <w:t>道路</w:t>
      </w:r>
      <w:r>
        <w:rPr>
          <w:rFonts w:hint="eastAsia" w:cs="Times New Roman"/>
        </w:rPr>
        <w:t>，</w:t>
      </w:r>
      <w:r>
        <w:rPr>
          <w:rFonts w:hint="eastAsia"/>
        </w:rPr>
        <w:t>项目东侧为河南诚信起重设备有限公司、巨人大道和绿化带，项目西侧为河南省新科起重机有限公司和新乡新起机器设备有限公司</w:t>
      </w:r>
      <w:r>
        <w:rPr>
          <w:rFonts w:hint="eastAsia" w:cs="Times New Roman"/>
          <w:lang w:eastAsia="zh-CN"/>
        </w:rPr>
        <w:t>，</w:t>
      </w:r>
      <w:r>
        <w:rPr>
          <w:rFonts w:hint="eastAsia" w:cs="Times New Roman"/>
        </w:rPr>
        <w:t>南侧为</w:t>
      </w:r>
      <w:r>
        <w:rPr>
          <w:rFonts w:hint="eastAsia" w:cs="Times New Roman"/>
          <w:lang w:val="en-US" w:eastAsia="zh-CN"/>
        </w:rPr>
        <w:t>道路</w:t>
      </w:r>
      <w:r>
        <w:rPr>
          <w:rFonts w:hint="eastAsia" w:cs="Times New Roman"/>
          <w:lang w:eastAsia="zh-CN"/>
        </w:rPr>
        <w:t>。</w:t>
      </w:r>
    </w:p>
    <w:p>
      <w:pPr>
        <w:pageBreakBefore w:val="0"/>
        <w:widowControl w:val="0"/>
        <w:kinsoku/>
        <w:wordWrap/>
        <w:overflowPunct/>
        <w:topLinePunct w:val="0"/>
        <w:autoSpaceDE/>
        <w:autoSpaceDN/>
        <w:bidi w:val="0"/>
        <w:adjustRightInd w:val="0"/>
        <w:snapToGrid w:val="0"/>
        <w:spacing w:line="520" w:lineRule="exact"/>
        <w:ind w:firstLine="480"/>
        <w:textAlignment w:val="auto"/>
        <w:rPr>
          <w:rFonts w:cs="Times New Roman" w:asciiTheme="minorEastAsia" w:hAnsiTheme="minorEastAsia"/>
        </w:rPr>
      </w:pPr>
      <w:r>
        <w:rPr>
          <w:rFonts w:cs="Times New Roman" w:asciiTheme="minorEastAsia" w:hAnsiTheme="minorEastAsia"/>
        </w:rPr>
        <w:t>本项目地理位置见附图一，周边环境图见附图二，项目</w:t>
      </w:r>
      <w:r>
        <w:rPr>
          <w:rFonts w:hint="eastAsia" w:cs="Times New Roman" w:asciiTheme="minorEastAsia" w:hAnsiTheme="minorEastAsia"/>
          <w:lang w:val="en-US" w:eastAsia="zh-CN"/>
        </w:rPr>
        <w:t>平面布置图</w:t>
      </w:r>
      <w:r>
        <w:rPr>
          <w:rFonts w:cs="Times New Roman" w:asciiTheme="minorEastAsia" w:hAnsiTheme="minorEastAsia"/>
        </w:rPr>
        <w:t>见附图三</w:t>
      </w:r>
      <w:r>
        <w:rPr>
          <w:rFonts w:hint="eastAsia" w:cs="Times New Roman" w:asciiTheme="minorEastAsia" w:hAnsiTheme="minorEastAsia"/>
          <w:lang w:eastAsia="zh-CN"/>
        </w:rPr>
        <w:t>，</w:t>
      </w:r>
      <w:r>
        <w:rPr>
          <w:rFonts w:hint="eastAsia" w:cs="Times New Roman" w:asciiTheme="minorEastAsia" w:hAnsiTheme="minorEastAsia"/>
          <w:lang w:val="en-US" w:eastAsia="zh-CN"/>
        </w:rPr>
        <w:t>长垣市产业集聚区土地利用规划图</w:t>
      </w:r>
      <w:r>
        <w:rPr>
          <w:rFonts w:cs="Times New Roman" w:asciiTheme="minorEastAsia" w:hAnsiTheme="minorEastAsia"/>
        </w:rPr>
        <w:t>见附图四。</w:t>
      </w:r>
    </w:p>
    <w:p>
      <w:pPr>
        <w:pStyle w:val="3"/>
        <w:pageBreakBefore w:val="0"/>
        <w:widowControl w:val="0"/>
        <w:kinsoku/>
        <w:wordWrap/>
        <w:overflowPunct/>
        <w:topLinePunct w:val="0"/>
        <w:autoSpaceDE/>
        <w:autoSpaceDN/>
        <w:bidi w:val="0"/>
        <w:spacing w:beforeLines="0" w:afterLines="0" w:line="520" w:lineRule="exact"/>
        <w:textAlignment w:val="auto"/>
        <w:rPr>
          <w:rFonts w:cs="Times New Roman"/>
        </w:rPr>
      </w:pPr>
      <w:bookmarkStart w:id="85" w:name="_Toc8043"/>
      <w:bookmarkStart w:id="86" w:name="_Toc22798"/>
      <w:bookmarkStart w:id="87" w:name="_Toc4166"/>
      <w:bookmarkStart w:id="88" w:name="_Toc32702"/>
      <w:bookmarkStart w:id="89" w:name="_Toc3128"/>
      <w:bookmarkStart w:id="90" w:name="_Toc24805"/>
      <w:bookmarkStart w:id="91" w:name="_Toc1518"/>
      <w:bookmarkStart w:id="92" w:name="_Toc23422"/>
      <w:bookmarkStart w:id="93" w:name="_Toc20315"/>
      <w:bookmarkStart w:id="94" w:name="_Toc25565"/>
      <w:bookmarkStart w:id="95" w:name="_Toc26660"/>
      <w:bookmarkStart w:id="96" w:name="_Toc491"/>
      <w:r>
        <w:rPr>
          <w:rFonts w:cs="Times New Roman"/>
        </w:rPr>
        <w:t>3.2 建设内容</w:t>
      </w:r>
      <w:bookmarkEnd w:id="85"/>
      <w:bookmarkEnd w:id="86"/>
      <w:bookmarkEnd w:id="87"/>
      <w:bookmarkEnd w:id="88"/>
      <w:bookmarkEnd w:id="89"/>
      <w:bookmarkEnd w:id="90"/>
      <w:bookmarkEnd w:id="91"/>
      <w:bookmarkEnd w:id="92"/>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val="0"/>
        <w:spacing w:line="520" w:lineRule="exact"/>
        <w:ind w:firstLine="480"/>
        <w:textAlignment w:val="auto"/>
        <w:rPr>
          <w:rFonts w:cs="Times New Roman"/>
        </w:rPr>
      </w:pPr>
      <w:bookmarkStart w:id="97" w:name="_Toc16659"/>
      <w:r>
        <w:rPr>
          <w:rFonts w:hint="eastAsia" w:cs="Times New Roman"/>
        </w:rPr>
        <w:t>本</w:t>
      </w:r>
      <w:r>
        <w:rPr>
          <w:rFonts w:cs="Times New Roman"/>
        </w:rPr>
        <w:t>项目实际总投资</w:t>
      </w:r>
      <w:r>
        <w:rPr>
          <w:rFonts w:hint="eastAsia" w:cs="Times New Roman"/>
          <w:lang w:val="en-US" w:eastAsia="zh-CN"/>
        </w:rPr>
        <w:t>6400</w:t>
      </w:r>
      <w:r>
        <w:rPr>
          <w:rFonts w:cs="Times New Roman"/>
        </w:rPr>
        <w:t>万</w:t>
      </w:r>
      <w:bookmarkEnd w:id="97"/>
      <w:r>
        <w:rPr>
          <w:rFonts w:cs="Times New Roman"/>
        </w:rPr>
        <w:t>，其中环保投资</w:t>
      </w:r>
      <w:r>
        <w:rPr>
          <w:rFonts w:hint="eastAsia" w:cs="Times New Roman"/>
          <w:lang w:val="en-US" w:eastAsia="zh-CN"/>
        </w:rPr>
        <w:t>1000</w:t>
      </w:r>
      <w:r>
        <w:rPr>
          <w:rFonts w:cs="Times New Roman"/>
        </w:rPr>
        <w:t>万</w:t>
      </w:r>
      <w:bookmarkStart w:id="98" w:name="_Toc26444"/>
      <w:r>
        <w:rPr>
          <w:rFonts w:cs="Times New Roman"/>
        </w:rPr>
        <w:t>。本项目工程</w:t>
      </w:r>
      <w:bookmarkEnd w:id="98"/>
      <w:r>
        <w:rPr>
          <w:rFonts w:cs="Times New Roman"/>
        </w:rPr>
        <w:t>基本情况、产品方案、建设内容及实际建设内容见下表。</w:t>
      </w:r>
    </w:p>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sz w:val="24"/>
          <w:szCs w:val="24"/>
        </w:rPr>
      </w:pPr>
      <w:r>
        <w:rPr>
          <w:rFonts w:cs="Times New Roman"/>
          <w:b/>
          <w:bCs/>
          <w:sz w:val="24"/>
          <w:szCs w:val="24"/>
        </w:rPr>
        <w:t>表3-</w:t>
      </w:r>
      <w:r>
        <w:rPr>
          <w:rFonts w:hint="eastAsia" w:cs="Times New Roman"/>
          <w:b/>
          <w:bCs/>
          <w:sz w:val="24"/>
          <w:szCs w:val="24"/>
          <w:lang w:val="en-US" w:eastAsia="zh-CN"/>
        </w:rPr>
        <w:t>1</w:t>
      </w:r>
      <w:r>
        <w:rPr>
          <w:rFonts w:cs="Times New Roman"/>
          <w:sz w:val="24"/>
          <w:szCs w:val="24"/>
        </w:rPr>
        <w:t xml:space="preserve">   </w:t>
      </w:r>
      <w:r>
        <w:rPr>
          <w:rFonts w:hint="eastAsia" w:cs="Times New Roman"/>
          <w:b/>
          <w:bCs/>
          <w:sz w:val="24"/>
          <w:szCs w:val="24"/>
          <w:lang w:val="en-US" w:eastAsia="zh-CN"/>
        </w:rPr>
        <w:t>本项目</w:t>
      </w:r>
      <w:r>
        <w:rPr>
          <w:rFonts w:cs="Times New Roman"/>
          <w:b/>
          <w:bCs/>
          <w:sz w:val="24"/>
          <w:szCs w:val="24"/>
        </w:rPr>
        <w:t>基本情况表</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
        <w:gridCol w:w="1323"/>
        <w:gridCol w:w="4791"/>
        <w:gridCol w:w="1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序号</w:t>
            </w:r>
          </w:p>
        </w:tc>
        <w:tc>
          <w:tcPr>
            <w:tcW w:w="1323"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名  称</w:t>
            </w:r>
          </w:p>
        </w:tc>
        <w:tc>
          <w:tcPr>
            <w:tcW w:w="4791"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内容</w:t>
            </w:r>
          </w:p>
        </w:tc>
        <w:tc>
          <w:tcPr>
            <w:tcW w:w="151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1</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工程名称</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sz w:val="21"/>
                <w:szCs w:val="21"/>
              </w:rPr>
              <w:t>纽科伦（新乡）起重机有限公司年产2万台起重机、100台立体车库、3万台电动葫芦及配件项目</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2</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建设性质</w:t>
            </w:r>
          </w:p>
        </w:tc>
        <w:tc>
          <w:tcPr>
            <w:tcW w:w="4791"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扩建</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3</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建设地点</w:t>
            </w:r>
          </w:p>
        </w:tc>
        <w:tc>
          <w:tcPr>
            <w:tcW w:w="4791" w:type="dxa"/>
            <w:tcBorders>
              <w:tl2br w:val="nil"/>
              <w:tr2bl w:val="nil"/>
            </w:tcBorders>
            <w:vAlign w:val="center"/>
          </w:tcPr>
          <w:p>
            <w:pPr>
              <w:pStyle w:val="6"/>
              <w:spacing w:line="240" w:lineRule="auto"/>
              <w:ind w:firstLine="0" w:firstLineChars="0"/>
              <w:rPr>
                <w:rFonts w:cs="Times New Roman"/>
                <w:szCs w:val="21"/>
              </w:rPr>
            </w:pPr>
            <w:r>
              <w:rPr>
                <w:rFonts w:hint="default" w:cs="Times New Roman"/>
                <w:lang w:val="en-US" w:eastAsia="zh-CN"/>
              </w:rPr>
              <w:t>长垣市河南起重机工业园区巨人大道</w:t>
            </w:r>
          </w:p>
        </w:tc>
        <w:tc>
          <w:tcPr>
            <w:tcW w:w="1518" w:type="dxa"/>
            <w:tcBorders>
              <w:tl2br w:val="nil"/>
              <w:tr2bl w:val="nil"/>
            </w:tcBorders>
            <w:vAlign w:val="center"/>
          </w:tcPr>
          <w:p>
            <w:pPr>
              <w:pStyle w:val="6"/>
              <w:spacing w:line="240" w:lineRule="auto"/>
              <w:ind w:firstLine="0" w:firstLineChars="0"/>
              <w:rPr>
                <w:rFonts w:cs="Times New Roman"/>
                <w:szCs w:val="21"/>
              </w:rPr>
            </w:pPr>
            <w:r>
              <w:rPr>
                <w:rFonts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4</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总占地面积</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rPr>
              <w:t>269245.35</w:t>
            </w:r>
            <w:r>
              <w:rPr>
                <w:rFonts w:cs="Times New Roman"/>
                <w:sz w:val="21"/>
                <w:szCs w:val="21"/>
              </w:rPr>
              <w:t>m</w:t>
            </w:r>
            <w:r>
              <w:rPr>
                <w:rFonts w:cs="Times New Roman"/>
                <w:sz w:val="21"/>
                <w:szCs w:val="21"/>
                <w:vertAlign w:val="superscript"/>
              </w:rPr>
              <w:t>2</w:t>
            </w:r>
          </w:p>
        </w:tc>
        <w:tc>
          <w:tcPr>
            <w:tcW w:w="1518" w:type="dxa"/>
            <w:tcBorders>
              <w:tl2br w:val="nil"/>
              <w:tr2bl w:val="nil"/>
            </w:tcBorders>
            <w:vAlign w:val="center"/>
          </w:tcPr>
          <w:p>
            <w:pPr>
              <w:spacing w:line="240" w:lineRule="auto"/>
              <w:ind w:firstLine="0" w:firstLineChars="0"/>
              <w:jc w:val="center"/>
              <w:rPr>
                <w:rFonts w:cs="Times New Roman"/>
                <w:b/>
                <w:bCs/>
                <w:sz w:val="21"/>
                <w:szCs w:val="21"/>
                <w:u w:val="single"/>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5</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建设内容</w:t>
            </w:r>
          </w:p>
        </w:tc>
        <w:tc>
          <w:tcPr>
            <w:tcW w:w="4791" w:type="dxa"/>
            <w:tcBorders>
              <w:tl2br w:val="nil"/>
              <w:tr2bl w:val="nil"/>
            </w:tcBorders>
            <w:vAlign w:val="center"/>
          </w:tcPr>
          <w:p>
            <w:pPr>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依托现有车间建设年产2万台起重机、100台立体车库、3万台电动葫芦及配件项目</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vertAlign w:val="superscript"/>
                <w:lang w:eastAsia="zh-CN"/>
              </w:rPr>
            </w:pPr>
            <w:r>
              <w:rPr>
                <w:rFonts w:hint="eastAsia" w:cs="Times New Roman"/>
                <w:sz w:val="21"/>
                <w:szCs w:val="21"/>
                <w:lang w:val="en-US" w:eastAsia="zh-CN"/>
              </w:rPr>
              <w:t>6</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总投资</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val="en-US" w:eastAsia="zh-CN"/>
              </w:rPr>
              <w:t>6400</w:t>
            </w:r>
            <w:r>
              <w:rPr>
                <w:rFonts w:cs="Times New Roman"/>
                <w:sz w:val="21"/>
                <w:szCs w:val="21"/>
              </w:rPr>
              <w:t>万元</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企业自筹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7</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劳动定员</w:t>
            </w:r>
          </w:p>
        </w:tc>
        <w:tc>
          <w:tcPr>
            <w:tcW w:w="4791" w:type="dxa"/>
            <w:tcBorders>
              <w:tl2br w:val="nil"/>
              <w:tr2bl w:val="nil"/>
            </w:tcBorders>
            <w:vAlign w:val="center"/>
          </w:tcPr>
          <w:p>
            <w:pPr>
              <w:spacing w:line="240" w:lineRule="auto"/>
              <w:ind w:firstLine="0" w:firstLineChars="0"/>
              <w:jc w:val="center"/>
              <w:rPr>
                <w:rFonts w:cs="Times New Roman"/>
                <w:sz w:val="21"/>
                <w:szCs w:val="21"/>
              </w:rPr>
            </w:pPr>
            <w:r>
              <w:rPr>
                <w:rFonts w:hint="eastAsia" w:cs="Times New Roman"/>
                <w:sz w:val="21"/>
                <w:szCs w:val="21"/>
                <w:lang w:val="en-US" w:eastAsia="zh-CN"/>
              </w:rPr>
              <w:t>1200</w:t>
            </w:r>
            <w:r>
              <w:rPr>
                <w:rFonts w:cs="Times New Roman"/>
                <w:sz w:val="21"/>
                <w:szCs w:val="21"/>
              </w:rPr>
              <w:t>人</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厂内提供食宿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0" w:type="dxa"/>
            <w:tcBorders>
              <w:tl2br w:val="nil"/>
              <w:tr2bl w:val="nil"/>
            </w:tcBorders>
            <w:vAlign w:val="center"/>
          </w:tcPr>
          <w:p>
            <w:pPr>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8</w:t>
            </w:r>
          </w:p>
        </w:tc>
        <w:tc>
          <w:tcPr>
            <w:tcW w:w="1323"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工作制度</w:t>
            </w:r>
          </w:p>
        </w:tc>
        <w:tc>
          <w:tcPr>
            <w:tcW w:w="4791" w:type="dxa"/>
            <w:tcBorders>
              <w:tl2br w:val="nil"/>
              <w:tr2bl w:val="nil"/>
            </w:tcBorders>
            <w:vAlign w:val="center"/>
          </w:tcPr>
          <w:p>
            <w:pPr>
              <w:spacing w:line="240" w:lineRule="auto"/>
              <w:ind w:firstLine="0" w:firstLineChars="0"/>
              <w:jc w:val="center"/>
              <w:rPr>
                <w:rFonts w:hint="default" w:cs="Times New Roman" w:eastAsiaTheme="minorEastAsia"/>
                <w:sz w:val="21"/>
                <w:szCs w:val="21"/>
                <w:lang w:val="en-US" w:eastAsia="zh-CN"/>
              </w:rPr>
            </w:pPr>
            <w:r>
              <w:rPr>
                <w:rFonts w:cs="Times New Roman"/>
                <w:sz w:val="21"/>
                <w:szCs w:val="21"/>
              </w:rPr>
              <w:t>采用</w:t>
            </w:r>
            <w:r>
              <w:rPr>
                <w:rFonts w:hint="eastAsia" w:cs="Times New Roman"/>
                <w:sz w:val="21"/>
                <w:szCs w:val="21"/>
                <w:lang w:val="en-US" w:eastAsia="zh-CN"/>
              </w:rPr>
              <w:t>1</w:t>
            </w:r>
            <w:r>
              <w:rPr>
                <w:rFonts w:cs="Times New Roman"/>
                <w:sz w:val="21"/>
                <w:szCs w:val="21"/>
              </w:rPr>
              <w:t>班8小时工作制，</w:t>
            </w:r>
            <w:r>
              <w:rPr>
                <w:rFonts w:hint="eastAsia" w:cs="Times New Roman"/>
                <w:sz w:val="21"/>
                <w:szCs w:val="21"/>
                <w:lang w:val="en-US" w:eastAsia="zh-CN"/>
              </w:rPr>
              <w:t>年工作300天</w:t>
            </w:r>
          </w:p>
        </w:tc>
        <w:tc>
          <w:tcPr>
            <w:tcW w:w="151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bookmarkStart w:id="99" w:name="_Toc24385"/>
      <w:r>
        <w:rPr>
          <w:rFonts w:cs="Times New Roman"/>
          <w:b/>
          <w:bCs/>
          <w:sz w:val="24"/>
          <w:szCs w:val="24"/>
        </w:rPr>
        <w:t>表3-</w:t>
      </w:r>
      <w:r>
        <w:rPr>
          <w:rFonts w:hint="eastAsia" w:cs="Times New Roman"/>
          <w:b/>
          <w:bCs/>
          <w:sz w:val="24"/>
          <w:szCs w:val="24"/>
          <w:lang w:val="en-US" w:eastAsia="zh-CN"/>
        </w:rPr>
        <w:t>2</w:t>
      </w:r>
      <w:r>
        <w:rPr>
          <w:rFonts w:cs="Times New Roman"/>
          <w:sz w:val="24"/>
          <w:szCs w:val="24"/>
        </w:rPr>
        <w:t xml:space="preserve">  </w:t>
      </w:r>
      <w:r>
        <w:rPr>
          <w:rFonts w:cs="Times New Roman"/>
          <w:b/>
          <w:bCs/>
          <w:sz w:val="24"/>
          <w:szCs w:val="24"/>
        </w:rPr>
        <w:t>本项目主要工程一览表</w:t>
      </w:r>
      <w:bookmarkEnd w:id="99"/>
    </w:p>
    <w:tbl>
      <w:tblPr>
        <w:tblStyle w:val="21"/>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925"/>
        <w:gridCol w:w="2629"/>
        <w:gridCol w:w="2567"/>
        <w:gridCol w:w="17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项目类别</w:t>
            </w:r>
          </w:p>
        </w:tc>
        <w:tc>
          <w:tcPr>
            <w:tcW w:w="925"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cs="Times New Roman"/>
                <w:b/>
                <w:bCs/>
                <w:sz w:val="21"/>
                <w:szCs w:val="21"/>
              </w:rPr>
              <w:t>项目</w:t>
            </w:r>
          </w:p>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内容</w:t>
            </w:r>
          </w:p>
        </w:tc>
        <w:tc>
          <w:tcPr>
            <w:tcW w:w="2629"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eastAsia="宋体" w:cs="Times New Roman"/>
                <w:b/>
                <w:bCs/>
                <w:sz w:val="21"/>
                <w:szCs w:val="21"/>
              </w:rPr>
              <w:t>环评阶段计划建设内容</w:t>
            </w:r>
          </w:p>
        </w:tc>
        <w:tc>
          <w:tcPr>
            <w:tcW w:w="2567" w:type="dxa"/>
            <w:tcBorders>
              <w:tl2br w:val="nil"/>
              <w:tr2bl w:val="nil"/>
            </w:tcBorders>
            <w:vAlign w:val="center"/>
          </w:tcPr>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实际建设内容</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eastAsia" w:cs="Times New Roman"/>
                <w:b/>
                <w:bCs/>
                <w:sz w:val="21"/>
                <w:szCs w:val="21"/>
              </w:rPr>
            </w:pPr>
            <w:r>
              <w:rPr>
                <w:rFonts w:hint="eastAsia" w:cs="Times New Roman"/>
                <w:b/>
                <w:bCs/>
                <w:sz w:val="21"/>
                <w:szCs w:val="21"/>
              </w:rPr>
              <w:t>变化</w:t>
            </w:r>
          </w:p>
          <w:p>
            <w:pPr>
              <w:widowControl/>
              <w:adjustRightInd w:val="0"/>
              <w:snapToGrid w:val="0"/>
              <w:spacing w:line="240" w:lineRule="auto"/>
              <w:ind w:firstLine="0" w:firstLineChars="0"/>
              <w:jc w:val="center"/>
              <w:rPr>
                <w:rFonts w:cs="Times New Roman"/>
                <w:b/>
                <w:bCs/>
                <w:sz w:val="21"/>
                <w:szCs w:val="21"/>
              </w:rPr>
            </w:pPr>
            <w:r>
              <w:rPr>
                <w:rFonts w:hint="eastAsia" w:cs="Times New Roman"/>
                <w:b/>
                <w:bCs/>
                <w:sz w:val="21"/>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restart"/>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rPr>
              <w:t>主体工程</w:t>
            </w: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单梁</w:t>
            </w:r>
          </w:p>
          <w:p>
            <w:pPr>
              <w:pStyle w:val="7"/>
              <w:spacing w:line="240" w:lineRule="auto"/>
              <w:ind w:firstLine="0" w:firstLineChars="0"/>
              <w:jc w:val="center"/>
              <w:rPr>
                <w:rFonts w:hint="default" w:cs="Times New Roman" w:eastAsiaTheme="minorEastAsia"/>
                <w:sz w:val="21"/>
                <w:szCs w:val="21"/>
                <w:lang w:val="en-US" w:eastAsia="zh-CN"/>
              </w:rPr>
            </w:pPr>
            <w:r>
              <w:rPr>
                <w:sz w:val="21"/>
                <w:szCs w:val="21"/>
              </w:rPr>
              <w:t>车间</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1层，高8m，建筑面积519.4m</w:t>
            </w:r>
            <w:r>
              <w:rPr>
                <w:rFonts w:hint="eastAsia"/>
                <w:sz w:val="21"/>
                <w:szCs w:val="21"/>
              </w:rPr>
              <w:t>×</w:t>
            </w:r>
            <w:r>
              <w:rPr>
                <w:sz w:val="21"/>
                <w:szCs w:val="21"/>
              </w:rPr>
              <w:t>82.8m=</w:t>
            </w:r>
          </w:p>
          <w:p>
            <w:pPr>
              <w:pStyle w:val="7"/>
              <w:spacing w:line="240" w:lineRule="auto"/>
              <w:ind w:firstLine="0" w:firstLineChars="0"/>
              <w:jc w:val="center"/>
              <w:rPr>
                <w:rFonts w:hint="eastAsia" w:cs="Times New Roman" w:eastAsiaTheme="minorEastAsia"/>
                <w:sz w:val="21"/>
                <w:szCs w:val="21"/>
                <w:lang w:eastAsia="zh-CN"/>
              </w:rPr>
            </w:pPr>
            <w:r>
              <w:rPr>
                <w:sz w:val="21"/>
                <w:szCs w:val="21"/>
              </w:rPr>
              <w:t>43006.32</w:t>
            </w:r>
            <w:r>
              <w:rPr>
                <w:rFonts w:hint="eastAsia"/>
                <w:sz w:val="21"/>
                <w:szCs w:val="21"/>
              </w:rPr>
              <w:t>m</w:t>
            </w:r>
            <w:r>
              <w:rPr>
                <w:rFonts w:hint="eastAsia"/>
                <w:sz w:val="21"/>
                <w:szCs w:val="21"/>
                <w:vertAlign w:val="superscript"/>
              </w:rPr>
              <w:t>2</w:t>
            </w:r>
            <w:r>
              <w:rPr>
                <w:sz w:val="21"/>
                <w:szCs w:val="21"/>
              </w:rPr>
              <w:t>，单梁车间位于东大门右前方，主要对单梁起重机进行下料、焊接组装的过程，主要包括葫芦组装区、下料区、下料储存区、钢板加工区、焊接区、外罩焊接区、标准端梁焊接区、端梁装配区、机加工区和SPC检测中心等</w:t>
            </w:r>
            <w:r>
              <w:rPr>
                <w:rFonts w:hint="eastAsia"/>
                <w:sz w:val="21"/>
                <w:szCs w:val="21"/>
                <w:lang w:eastAsia="zh-CN"/>
              </w:rPr>
              <w:t>。</w:t>
            </w:r>
          </w:p>
        </w:tc>
        <w:tc>
          <w:tcPr>
            <w:tcW w:w="2567" w:type="dxa"/>
            <w:tcBorders>
              <w:tl2br w:val="nil"/>
              <w:tr2bl w:val="nil"/>
            </w:tcBorders>
            <w:vAlign w:val="center"/>
          </w:tcPr>
          <w:p>
            <w:pPr>
              <w:pStyle w:val="7"/>
              <w:spacing w:line="240" w:lineRule="auto"/>
              <w:ind w:firstLine="0" w:firstLineChars="0"/>
              <w:jc w:val="center"/>
              <w:rPr>
                <w:rFonts w:hint="default" w:cs="Times New Roman"/>
                <w:sz w:val="21"/>
                <w:szCs w:val="21"/>
                <w:lang w:val="en-US"/>
              </w:rPr>
            </w:pPr>
            <w:r>
              <w:rPr>
                <w:sz w:val="21"/>
                <w:szCs w:val="21"/>
              </w:rPr>
              <w:t>1层，高8m，建筑面积43006.32</w:t>
            </w:r>
            <w:r>
              <w:rPr>
                <w:rFonts w:hint="eastAsia"/>
                <w:sz w:val="21"/>
                <w:szCs w:val="21"/>
              </w:rPr>
              <w:t>m</w:t>
            </w:r>
            <w:r>
              <w:rPr>
                <w:rFonts w:hint="eastAsia"/>
                <w:sz w:val="21"/>
                <w:szCs w:val="21"/>
                <w:vertAlign w:val="superscript"/>
              </w:rPr>
              <w:t>2</w:t>
            </w:r>
            <w:r>
              <w:rPr>
                <w:sz w:val="21"/>
                <w:szCs w:val="21"/>
              </w:rPr>
              <w:t>,，单梁车间位于东大门右前方，主要对单梁起重机进行下料、焊接组装的过程，主要包括下料区、钢板加工区、焊接区、</w:t>
            </w:r>
            <w:r>
              <w:rPr>
                <w:rFonts w:hint="eastAsia"/>
                <w:sz w:val="21"/>
                <w:szCs w:val="21"/>
                <w:lang w:val="en-US" w:eastAsia="zh-CN"/>
              </w:rPr>
              <w:t>单梁及端梁涂装房</w:t>
            </w:r>
            <w:r>
              <w:rPr>
                <w:sz w:val="21"/>
                <w:szCs w:val="21"/>
              </w:rPr>
              <w:t>、端梁装配区、机加工区和SPC检测中心等</w:t>
            </w:r>
            <w:r>
              <w:rPr>
                <w:rFonts w:hint="eastAsia"/>
                <w:sz w:val="21"/>
                <w:szCs w:val="21"/>
                <w:lang w:eastAsia="zh-CN"/>
              </w:rPr>
              <w:t>。</w:t>
            </w:r>
            <w:r>
              <w:rPr>
                <w:rFonts w:hint="eastAsia"/>
                <w:sz w:val="21"/>
                <w:szCs w:val="21"/>
                <w:lang w:val="en-US" w:eastAsia="zh-CN"/>
              </w:rPr>
              <w:t>分别设置单梁涂装房（33</w:t>
            </w:r>
            <w:r>
              <w:rPr>
                <w:rFonts w:hint="eastAsia"/>
                <w:sz w:val="21"/>
                <w:szCs w:val="21"/>
              </w:rPr>
              <w:t>×</w:t>
            </w:r>
            <w:r>
              <w:rPr>
                <w:rFonts w:hint="eastAsia"/>
                <w:sz w:val="21"/>
                <w:szCs w:val="21"/>
                <w:lang w:val="en-US" w:eastAsia="zh-CN"/>
              </w:rPr>
              <w:t>8</w:t>
            </w:r>
            <w:r>
              <w:rPr>
                <w:rFonts w:hint="eastAsia"/>
                <w:sz w:val="21"/>
                <w:szCs w:val="21"/>
              </w:rPr>
              <w:t>×</w:t>
            </w:r>
            <w:r>
              <w:rPr>
                <w:rFonts w:hint="eastAsia"/>
                <w:sz w:val="21"/>
                <w:szCs w:val="21"/>
                <w:lang w:val="en-US" w:eastAsia="zh-CN"/>
              </w:rPr>
              <w:t>5m）、端梁涂装房（48</w:t>
            </w:r>
            <w:r>
              <w:rPr>
                <w:rFonts w:hint="eastAsia"/>
                <w:sz w:val="21"/>
                <w:szCs w:val="21"/>
              </w:rPr>
              <w:t>×</w:t>
            </w:r>
            <w:r>
              <w:rPr>
                <w:rFonts w:hint="eastAsia"/>
                <w:sz w:val="21"/>
                <w:szCs w:val="21"/>
                <w:lang w:val="en-US" w:eastAsia="zh-CN"/>
              </w:rPr>
              <w:t>7</w:t>
            </w:r>
            <w:r>
              <w:rPr>
                <w:rFonts w:hint="eastAsia"/>
                <w:sz w:val="21"/>
                <w:szCs w:val="21"/>
              </w:rPr>
              <w:t>×</w:t>
            </w:r>
            <w:r>
              <w:rPr>
                <w:rFonts w:hint="eastAsia"/>
                <w:sz w:val="21"/>
                <w:szCs w:val="21"/>
                <w:lang w:val="en-US" w:eastAsia="zh-CN"/>
              </w:rPr>
              <w:t>5m）。</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本项目实际建设过程不涉及电动葫芦及配件生产，故单梁车间不设置葫芦组装及外罩焊接等，同时不在建设喷涂作业区，涂装工序共建设6个涂装房，单梁车间共设置两个涂装房。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双梁</w:t>
            </w:r>
          </w:p>
          <w:p>
            <w:pPr>
              <w:pStyle w:val="7"/>
              <w:spacing w:line="240" w:lineRule="auto"/>
              <w:ind w:firstLine="0" w:firstLineChars="0"/>
              <w:jc w:val="center"/>
              <w:rPr>
                <w:rFonts w:hint="eastAsia" w:cs="Times New Roman" w:eastAsiaTheme="minorEastAsia"/>
                <w:sz w:val="21"/>
                <w:szCs w:val="21"/>
                <w:lang w:eastAsia="zh-CN"/>
              </w:rPr>
            </w:pPr>
            <w:r>
              <w:rPr>
                <w:sz w:val="21"/>
                <w:szCs w:val="21"/>
              </w:rPr>
              <w:t>车间</w:t>
            </w:r>
          </w:p>
        </w:tc>
        <w:tc>
          <w:tcPr>
            <w:tcW w:w="2629" w:type="dxa"/>
            <w:tcBorders>
              <w:tl2br w:val="nil"/>
              <w:tr2bl w:val="nil"/>
            </w:tcBorders>
            <w:vAlign w:val="center"/>
          </w:tcPr>
          <w:p>
            <w:pPr>
              <w:pStyle w:val="7"/>
              <w:spacing w:line="240" w:lineRule="auto"/>
              <w:ind w:firstLine="0" w:firstLineChars="0"/>
              <w:jc w:val="center"/>
              <w:rPr>
                <w:rFonts w:cs="Times New Roman"/>
                <w:sz w:val="21"/>
                <w:szCs w:val="21"/>
              </w:rPr>
            </w:pPr>
            <w:r>
              <w:rPr>
                <w:sz w:val="21"/>
                <w:szCs w:val="21"/>
              </w:rPr>
              <w:t>1层，高8m，建筑面积259m</w:t>
            </w:r>
            <w:r>
              <w:rPr>
                <w:rFonts w:hint="eastAsia"/>
                <w:sz w:val="21"/>
                <w:szCs w:val="21"/>
              </w:rPr>
              <w:t>×</w:t>
            </w:r>
            <w:r>
              <w:rPr>
                <w:sz w:val="21"/>
                <w:szCs w:val="21"/>
              </w:rPr>
              <w:t>84m=21756</w:t>
            </w:r>
            <w:r>
              <w:rPr>
                <w:rFonts w:hint="eastAsia"/>
                <w:sz w:val="21"/>
                <w:szCs w:val="21"/>
              </w:rPr>
              <w:t>m</w:t>
            </w:r>
            <w:r>
              <w:rPr>
                <w:rFonts w:hint="eastAsia"/>
                <w:sz w:val="21"/>
                <w:szCs w:val="21"/>
                <w:vertAlign w:val="superscript"/>
              </w:rPr>
              <w:t>2</w:t>
            </w:r>
            <w:r>
              <w:rPr>
                <w:sz w:val="21"/>
                <w:szCs w:val="21"/>
              </w:rPr>
              <w:t>，位于单梁车间西侧厂房，主要包括端梁成型区、焊接区和双梁成型区、焊接区等。</w:t>
            </w:r>
          </w:p>
        </w:tc>
        <w:tc>
          <w:tcPr>
            <w:tcW w:w="2567" w:type="dxa"/>
            <w:tcBorders>
              <w:tl2br w:val="nil"/>
              <w:tr2bl w:val="nil"/>
            </w:tcBorders>
            <w:vAlign w:val="center"/>
          </w:tcPr>
          <w:p>
            <w:pPr>
              <w:pStyle w:val="7"/>
              <w:spacing w:line="240" w:lineRule="auto"/>
              <w:ind w:firstLine="0" w:firstLineChars="0"/>
              <w:jc w:val="center"/>
              <w:rPr>
                <w:rFonts w:cs="Times New Roman"/>
                <w:sz w:val="21"/>
                <w:szCs w:val="21"/>
              </w:rPr>
            </w:pPr>
            <w:r>
              <w:rPr>
                <w:sz w:val="21"/>
                <w:szCs w:val="21"/>
              </w:rPr>
              <w:t>1层，高8m，建筑面积21756</w:t>
            </w:r>
            <w:r>
              <w:rPr>
                <w:rFonts w:hint="eastAsia"/>
                <w:sz w:val="21"/>
                <w:szCs w:val="21"/>
              </w:rPr>
              <w:t>m</w:t>
            </w:r>
            <w:r>
              <w:rPr>
                <w:rFonts w:hint="eastAsia"/>
                <w:sz w:val="21"/>
                <w:szCs w:val="21"/>
                <w:vertAlign w:val="superscript"/>
              </w:rPr>
              <w:t>2</w:t>
            </w:r>
            <w:r>
              <w:rPr>
                <w:sz w:val="21"/>
                <w:szCs w:val="21"/>
              </w:rPr>
              <w:t>，位于单梁车间西侧厂房，主要包括端梁成型区、焊接区和双梁成型区、焊接区</w:t>
            </w:r>
            <w:r>
              <w:rPr>
                <w:rFonts w:hint="eastAsia"/>
                <w:sz w:val="21"/>
                <w:szCs w:val="21"/>
                <w:lang w:eastAsia="zh-CN"/>
              </w:rPr>
              <w:t>、</w:t>
            </w:r>
            <w:r>
              <w:rPr>
                <w:rFonts w:hint="eastAsia"/>
                <w:sz w:val="21"/>
                <w:szCs w:val="21"/>
                <w:lang w:val="en-US" w:eastAsia="zh-CN"/>
              </w:rPr>
              <w:t>双梁涂装房</w:t>
            </w:r>
            <w:r>
              <w:rPr>
                <w:sz w:val="21"/>
                <w:szCs w:val="21"/>
              </w:rPr>
              <w:t>等</w:t>
            </w:r>
            <w:r>
              <w:rPr>
                <w:rFonts w:hint="eastAsia"/>
                <w:sz w:val="21"/>
                <w:szCs w:val="21"/>
                <w:lang w:eastAsia="zh-CN"/>
              </w:rPr>
              <w:t>，</w:t>
            </w:r>
            <w:r>
              <w:rPr>
                <w:rFonts w:hint="eastAsia"/>
                <w:sz w:val="21"/>
                <w:szCs w:val="21"/>
                <w:lang w:val="en-US" w:eastAsia="zh-CN"/>
              </w:rPr>
              <w:t>共设置两个双梁涂装房（33</w:t>
            </w:r>
            <w:r>
              <w:rPr>
                <w:rFonts w:hint="eastAsia"/>
                <w:sz w:val="21"/>
                <w:szCs w:val="21"/>
              </w:rPr>
              <w:t>×</w:t>
            </w:r>
            <w:r>
              <w:rPr>
                <w:rFonts w:hint="eastAsia"/>
                <w:sz w:val="21"/>
                <w:szCs w:val="21"/>
                <w:lang w:val="en-US" w:eastAsia="zh-CN"/>
              </w:rPr>
              <w:t>8</w:t>
            </w:r>
            <w:r>
              <w:rPr>
                <w:rFonts w:hint="eastAsia"/>
                <w:sz w:val="21"/>
                <w:szCs w:val="21"/>
              </w:rPr>
              <w:t>×</w:t>
            </w:r>
            <w:r>
              <w:rPr>
                <w:rFonts w:hint="eastAsia"/>
                <w:sz w:val="21"/>
                <w:szCs w:val="21"/>
                <w:lang w:val="en-US" w:eastAsia="zh-CN"/>
              </w:rPr>
              <w:t>5m）</w:t>
            </w:r>
            <w:r>
              <w:rPr>
                <w:sz w:val="21"/>
                <w:szCs w:val="21"/>
              </w:rPr>
              <w:t>。</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sz w:val="21"/>
                <w:szCs w:val="21"/>
                <w:lang w:val="en-US" w:eastAsia="zh-CN"/>
              </w:rPr>
            </w:pPr>
            <w:r>
              <w:rPr>
                <w:rFonts w:hint="eastAsia" w:cs="Times New Roman"/>
                <w:sz w:val="21"/>
                <w:szCs w:val="21"/>
                <w:lang w:val="en-US" w:eastAsia="zh-CN"/>
              </w:rPr>
              <w:t>不在建设喷涂作业区，涂装工序共建设6个涂装房，双梁车间共设置两个双梁涂装房。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cs="Times New Roman" w:eastAsiaTheme="minorEastAsia"/>
                <w:color w:val="auto"/>
                <w:sz w:val="21"/>
                <w:szCs w:val="21"/>
                <w:lang w:eastAsia="zh-CN"/>
              </w:rPr>
            </w:pPr>
            <w:r>
              <w:rPr>
                <w:color w:val="auto"/>
                <w:sz w:val="21"/>
                <w:szCs w:val="21"/>
              </w:rPr>
              <w:t>新型葫芦装配车间</w:t>
            </w:r>
          </w:p>
        </w:tc>
        <w:tc>
          <w:tcPr>
            <w:tcW w:w="2629" w:type="dxa"/>
            <w:tcBorders>
              <w:tl2br w:val="nil"/>
              <w:tr2bl w:val="nil"/>
            </w:tcBorders>
            <w:vAlign w:val="center"/>
          </w:tcPr>
          <w:p>
            <w:pPr>
              <w:pStyle w:val="7"/>
              <w:spacing w:line="240" w:lineRule="auto"/>
              <w:ind w:firstLine="0" w:firstLineChars="0"/>
              <w:jc w:val="center"/>
              <w:rPr>
                <w:rFonts w:cs="Times New Roman"/>
                <w:color w:val="auto"/>
                <w:sz w:val="21"/>
                <w:szCs w:val="21"/>
              </w:rPr>
            </w:pPr>
            <w:r>
              <w:rPr>
                <w:color w:val="auto"/>
                <w:sz w:val="21"/>
                <w:szCs w:val="21"/>
              </w:rPr>
              <w:t>1层，高8m，建筑面积72m</w:t>
            </w:r>
            <w:r>
              <w:rPr>
                <w:rFonts w:hint="eastAsia"/>
                <w:color w:val="auto"/>
                <w:sz w:val="21"/>
                <w:szCs w:val="21"/>
              </w:rPr>
              <w:t>×</w:t>
            </w:r>
            <w:r>
              <w:rPr>
                <w:color w:val="auto"/>
                <w:sz w:val="21"/>
                <w:szCs w:val="21"/>
              </w:rPr>
              <w:t>35.9m=2584.8</w:t>
            </w:r>
            <w:r>
              <w:rPr>
                <w:rFonts w:hint="eastAsia"/>
                <w:color w:val="auto"/>
                <w:sz w:val="21"/>
                <w:szCs w:val="21"/>
              </w:rPr>
              <w:t>m</w:t>
            </w:r>
            <w:r>
              <w:rPr>
                <w:rFonts w:hint="eastAsia"/>
                <w:color w:val="auto"/>
                <w:sz w:val="21"/>
                <w:szCs w:val="21"/>
                <w:vertAlign w:val="superscript"/>
              </w:rPr>
              <w:t>2</w:t>
            </w:r>
            <w:r>
              <w:rPr>
                <w:color w:val="auto"/>
                <w:sz w:val="21"/>
                <w:szCs w:val="21"/>
              </w:rPr>
              <w:t>，位于餐厅西侧，主要对电动葫芦进行装配，主要包括配件存放区、环链葫芦装配区、环链葫芦存放区、成品区和实验控制室。</w:t>
            </w:r>
          </w:p>
        </w:tc>
        <w:tc>
          <w:tcPr>
            <w:tcW w:w="2567" w:type="dxa"/>
            <w:tcBorders>
              <w:tl2br w:val="nil"/>
              <w:tr2bl w:val="nil"/>
            </w:tcBorders>
            <w:vAlign w:val="center"/>
          </w:tcPr>
          <w:p>
            <w:pPr>
              <w:pStyle w:val="7"/>
              <w:spacing w:line="240" w:lineRule="auto"/>
              <w:ind w:firstLine="0" w:firstLineChars="0"/>
              <w:jc w:val="center"/>
              <w:rPr>
                <w:rFonts w:hint="default" w:cs="Times New Roman" w:eastAsiaTheme="minorEastAsia"/>
                <w:color w:val="auto"/>
                <w:sz w:val="21"/>
                <w:szCs w:val="21"/>
                <w:vertAlign w:val="baseline"/>
                <w:lang w:val="en-US" w:eastAsia="zh-CN"/>
              </w:rPr>
            </w:pPr>
            <w:r>
              <w:rPr>
                <w:rFonts w:hint="eastAsia"/>
                <w:color w:val="auto"/>
                <w:sz w:val="21"/>
                <w:szCs w:val="21"/>
                <w:lang w:val="en-US" w:eastAsia="zh-CN"/>
              </w:rPr>
              <w:t>租赁给长垣市玖伍电缆有限公司使用</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不再本次项目验收范围之内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喷涂作业区</w:t>
            </w:r>
          </w:p>
        </w:tc>
        <w:tc>
          <w:tcPr>
            <w:tcW w:w="2629" w:type="dxa"/>
            <w:tcBorders>
              <w:tl2br w:val="nil"/>
              <w:tr2bl w:val="nil"/>
            </w:tcBorders>
            <w:vAlign w:val="center"/>
          </w:tcPr>
          <w:p>
            <w:pPr>
              <w:pStyle w:val="7"/>
              <w:spacing w:line="240" w:lineRule="auto"/>
              <w:ind w:firstLine="0" w:firstLineChars="0"/>
              <w:jc w:val="center"/>
              <w:rPr>
                <w:rFonts w:hint="eastAsia" w:eastAsiaTheme="minorEastAsia"/>
                <w:sz w:val="21"/>
                <w:szCs w:val="21"/>
                <w:lang w:eastAsia="zh-CN"/>
              </w:rPr>
            </w:pPr>
            <w:r>
              <w:rPr>
                <w:rFonts w:hint="eastAsia"/>
                <w:sz w:val="21"/>
                <w:szCs w:val="21"/>
                <w:lang w:val="en-US" w:eastAsia="zh-CN"/>
              </w:rPr>
              <w:t>建筑</w:t>
            </w:r>
            <w:r>
              <w:rPr>
                <w:sz w:val="21"/>
                <w:szCs w:val="21"/>
              </w:rPr>
              <w:t>面积80500</w:t>
            </w:r>
            <w:r>
              <w:rPr>
                <w:rFonts w:hint="eastAsia"/>
                <w:sz w:val="21"/>
                <w:szCs w:val="21"/>
              </w:rPr>
              <w:t>m</w:t>
            </w:r>
            <w:r>
              <w:rPr>
                <w:rFonts w:hint="eastAsia"/>
                <w:sz w:val="21"/>
                <w:szCs w:val="21"/>
                <w:vertAlign w:val="superscript"/>
              </w:rPr>
              <w:t>2</w:t>
            </w:r>
            <w:r>
              <w:rPr>
                <w:sz w:val="21"/>
                <w:szCs w:val="21"/>
              </w:rPr>
              <w:t>，主要建设有</w:t>
            </w:r>
            <w:r>
              <w:rPr>
                <w:rFonts w:hint="eastAsia"/>
                <w:sz w:val="21"/>
                <w:szCs w:val="21"/>
              </w:rPr>
              <w:t>5</w:t>
            </w:r>
            <w:r>
              <w:rPr>
                <w:sz w:val="21"/>
                <w:szCs w:val="21"/>
              </w:rPr>
              <w:t>个移动式喷漆房、葫双小车及小件喷漆房、抛丸机、钢板校平抛丸喷漆线等</w:t>
            </w:r>
            <w:r>
              <w:rPr>
                <w:rFonts w:hint="eastAsia"/>
                <w:sz w:val="21"/>
                <w:szCs w:val="21"/>
                <w:lang w:eastAsia="zh-CN"/>
              </w:rPr>
              <w:t>。</w:t>
            </w:r>
          </w:p>
        </w:tc>
        <w:tc>
          <w:tcPr>
            <w:tcW w:w="2567" w:type="dxa"/>
            <w:tcBorders>
              <w:tl2br w:val="nil"/>
              <w:tr2bl w:val="nil"/>
            </w:tcBorders>
            <w:vAlign w:val="center"/>
          </w:tcPr>
          <w:p>
            <w:pPr>
              <w:pStyle w:val="7"/>
              <w:spacing w:line="240" w:lineRule="auto"/>
              <w:ind w:firstLine="0" w:firstLineChars="0"/>
              <w:jc w:val="center"/>
              <w:rPr>
                <w:rFonts w:hint="eastAsia" w:eastAsiaTheme="minorEastAsia"/>
                <w:sz w:val="21"/>
                <w:szCs w:val="21"/>
                <w:lang w:eastAsia="zh-CN"/>
              </w:rPr>
            </w:pPr>
            <w:r>
              <w:rPr>
                <w:rFonts w:hint="eastAsia"/>
                <w:sz w:val="21"/>
                <w:szCs w:val="21"/>
                <w:lang w:val="en-US" w:eastAsia="zh-CN"/>
              </w:rPr>
              <w:t>/</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未建设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小件涂装房</w:t>
            </w:r>
          </w:p>
        </w:tc>
        <w:tc>
          <w:tcPr>
            <w:tcW w:w="2629" w:type="dxa"/>
            <w:tcBorders>
              <w:tl2br w:val="nil"/>
              <w:tr2bl w:val="nil"/>
            </w:tcBorders>
            <w:vAlign w:val="center"/>
          </w:tcPr>
          <w:p>
            <w:pPr>
              <w:pStyle w:val="7"/>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w:t>
            </w:r>
          </w:p>
        </w:tc>
        <w:tc>
          <w:tcPr>
            <w:tcW w:w="2567" w:type="dxa"/>
            <w:tcBorders>
              <w:tl2br w:val="nil"/>
              <w:tr2bl w:val="nil"/>
            </w:tcBorders>
            <w:vAlign w:val="center"/>
          </w:tcPr>
          <w:p>
            <w:pPr>
              <w:pStyle w:val="7"/>
              <w:spacing w:line="240" w:lineRule="auto"/>
              <w:ind w:firstLine="0" w:firstLineChars="0"/>
              <w:jc w:val="both"/>
              <w:rPr>
                <w:rFonts w:hint="default"/>
                <w:sz w:val="21"/>
                <w:szCs w:val="21"/>
                <w:lang w:val="en-US" w:eastAsia="zh-CN"/>
              </w:rPr>
            </w:pPr>
            <w:r>
              <w:rPr>
                <w:rFonts w:hint="eastAsia"/>
                <w:sz w:val="21"/>
                <w:szCs w:val="21"/>
                <w:lang w:val="en-US" w:eastAsia="zh-CN"/>
              </w:rPr>
              <w:t>尺寸为33</w:t>
            </w:r>
            <w:r>
              <w:rPr>
                <w:rFonts w:hint="eastAsia"/>
                <w:sz w:val="21"/>
                <w:szCs w:val="21"/>
              </w:rPr>
              <w:t>×</w:t>
            </w:r>
            <w:r>
              <w:rPr>
                <w:rFonts w:hint="eastAsia"/>
                <w:sz w:val="21"/>
                <w:szCs w:val="21"/>
                <w:lang w:val="en-US" w:eastAsia="zh-CN"/>
              </w:rPr>
              <w:t>8</w:t>
            </w:r>
            <w:r>
              <w:rPr>
                <w:rFonts w:hint="eastAsia"/>
                <w:sz w:val="21"/>
                <w:szCs w:val="21"/>
              </w:rPr>
              <w:t>×</w:t>
            </w:r>
            <w:r>
              <w:rPr>
                <w:rFonts w:hint="eastAsia"/>
                <w:sz w:val="21"/>
                <w:szCs w:val="21"/>
                <w:lang w:val="en-US" w:eastAsia="zh-CN"/>
              </w:rPr>
              <w:t>5m，1层，</w:t>
            </w:r>
          </w:p>
          <w:p>
            <w:pPr>
              <w:pStyle w:val="7"/>
              <w:spacing w:line="240" w:lineRule="auto"/>
              <w:ind w:firstLine="0" w:firstLineChars="0"/>
              <w:jc w:val="both"/>
              <w:rPr>
                <w:rFonts w:hint="default"/>
                <w:sz w:val="21"/>
                <w:szCs w:val="21"/>
                <w:lang w:val="en-US" w:eastAsia="zh-CN"/>
              </w:rPr>
            </w:pPr>
            <w:r>
              <w:rPr>
                <w:rFonts w:hint="eastAsia"/>
                <w:sz w:val="21"/>
                <w:szCs w:val="21"/>
                <w:lang w:val="en-US" w:eastAsia="zh-CN"/>
              </w:rPr>
              <w:t>用于配件的涂装。</w:t>
            </w:r>
          </w:p>
        </w:tc>
        <w:tc>
          <w:tcPr>
            <w:tcW w:w="1745" w:type="dxa"/>
            <w:vMerge w:val="restart"/>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新增，厂区未建设喷涂作业区，新增小件涂装房、板材预处理涂装线，用于替代原有喷涂作</w:t>
            </w:r>
          </w:p>
          <w:p>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业区。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板材预处理涂装线</w:t>
            </w:r>
          </w:p>
        </w:tc>
        <w:tc>
          <w:tcPr>
            <w:tcW w:w="2629" w:type="dxa"/>
            <w:tcBorders>
              <w:tl2br w:val="nil"/>
              <w:tr2bl w:val="nil"/>
            </w:tcBorders>
            <w:vAlign w:val="center"/>
          </w:tcPr>
          <w:p>
            <w:pPr>
              <w:pStyle w:val="7"/>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w:t>
            </w:r>
          </w:p>
        </w:tc>
        <w:tc>
          <w:tcPr>
            <w:tcW w:w="2567" w:type="dxa"/>
            <w:tcBorders>
              <w:tl2br w:val="nil"/>
              <w:tr2bl w:val="nil"/>
            </w:tcBorders>
            <w:vAlign w:val="center"/>
          </w:tcPr>
          <w:p>
            <w:pPr>
              <w:pStyle w:val="7"/>
              <w:spacing w:line="240" w:lineRule="auto"/>
              <w:ind w:firstLine="0" w:firstLineChars="0"/>
              <w:jc w:val="both"/>
              <w:rPr>
                <w:rFonts w:hint="default"/>
                <w:sz w:val="21"/>
                <w:szCs w:val="21"/>
                <w:lang w:val="en-US" w:eastAsia="zh-CN"/>
              </w:rPr>
            </w:pPr>
            <w:r>
              <w:rPr>
                <w:rFonts w:hint="eastAsia"/>
                <w:sz w:val="21"/>
                <w:szCs w:val="21"/>
                <w:lang w:val="en-US" w:eastAsia="zh-CN"/>
              </w:rPr>
              <w:t>尺寸为4</w:t>
            </w:r>
            <w:r>
              <w:rPr>
                <w:rFonts w:hint="eastAsia"/>
                <w:sz w:val="21"/>
                <w:szCs w:val="21"/>
              </w:rPr>
              <w:t>×</w:t>
            </w:r>
            <w:r>
              <w:rPr>
                <w:rFonts w:hint="eastAsia"/>
                <w:sz w:val="21"/>
                <w:szCs w:val="21"/>
                <w:lang w:val="en-US" w:eastAsia="zh-CN"/>
              </w:rPr>
              <w:t>6</w:t>
            </w:r>
            <w:r>
              <w:rPr>
                <w:rFonts w:hint="eastAsia"/>
                <w:sz w:val="21"/>
                <w:szCs w:val="21"/>
              </w:rPr>
              <w:t>×</w:t>
            </w:r>
            <w:r>
              <w:rPr>
                <w:rFonts w:hint="eastAsia"/>
                <w:sz w:val="21"/>
                <w:szCs w:val="21"/>
                <w:lang w:val="en-US" w:eastAsia="zh-CN"/>
              </w:rPr>
              <w:t>7m，1层，</w:t>
            </w:r>
          </w:p>
          <w:p>
            <w:pPr>
              <w:pStyle w:val="7"/>
              <w:spacing w:line="240" w:lineRule="auto"/>
              <w:ind w:firstLine="0" w:firstLineChars="0"/>
              <w:jc w:val="center"/>
              <w:rPr>
                <w:rFonts w:hint="eastAsia"/>
                <w:sz w:val="21"/>
                <w:szCs w:val="21"/>
                <w:lang w:val="en-US" w:eastAsia="zh-CN"/>
              </w:rPr>
            </w:pPr>
            <w:r>
              <w:rPr>
                <w:rFonts w:hint="eastAsia"/>
                <w:sz w:val="21"/>
                <w:szCs w:val="21"/>
                <w:lang w:val="en-US" w:eastAsia="zh-CN"/>
              </w:rPr>
              <w:t>用于板材预处理及涂装。</w:t>
            </w:r>
          </w:p>
        </w:tc>
        <w:tc>
          <w:tcPr>
            <w:tcW w:w="1745"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restart"/>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r>
              <w:rPr>
                <w:sz w:val="21"/>
                <w:szCs w:val="21"/>
              </w:rPr>
              <w:t>公辅工程</w:t>
            </w: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双梁</w:t>
            </w:r>
          </w:p>
          <w:p>
            <w:pPr>
              <w:pStyle w:val="7"/>
              <w:spacing w:line="240" w:lineRule="auto"/>
              <w:ind w:firstLine="0" w:firstLineChars="0"/>
              <w:jc w:val="center"/>
              <w:rPr>
                <w:sz w:val="21"/>
                <w:szCs w:val="21"/>
              </w:rPr>
            </w:pPr>
            <w:r>
              <w:rPr>
                <w:sz w:val="21"/>
                <w:szCs w:val="21"/>
              </w:rPr>
              <w:t>成品</w:t>
            </w:r>
          </w:p>
          <w:p>
            <w:pPr>
              <w:pStyle w:val="7"/>
              <w:spacing w:line="240" w:lineRule="auto"/>
              <w:ind w:firstLine="0" w:firstLineChars="0"/>
              <w:jc w:val="center"/>
              <w:rPr>
                <w:rFonts w:hint="eastAsia"/>
                <w:sz w:val="21"/>
                <w:szCs w:val="21"/>
                <w:lang w:val="en-US" w:eastAsia="zh-CN"/>
              </w:rPr>
            </w:pPr>
            <w:r>
              <w:rPr>
                <w:sz w:val="21"/>
                <w:szCs w:val="21"/>
              </w:rPr>
              <w:t>存放区</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占地面积，155m*40m=6200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占地面积，155m*40m=6200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单梁</w:t>
            </w:r>
          </w:p>
          <w:p>
            <w:pPr>
              <w:pStyle w:val="7"/>
              <w:spacing w:line="240" w:lineRule="auto"/>
              <w:ind w:firstLine="0" w:firstLineChars="0"/>
              <w:jc w:val="center"/>
              <w:rPr>
                <w:sz w:val="21"/>
                <w:szCs w:val="21"/>
              </w:rPr>
            </w:pPr>
            <w:r>
              <w:rPr>
                <w:sz w:val="21"/>
                <w:szCs w:val="21"/>
              </w:rPr>
              <w:t>成品</w:t>
            </w:r>
          </w:p>
          <w:p>
            <w:pPr>
              <w:pStyle w:val="7"/>
              <w:spacing w:line="240" w:lineRule="auto"/>
              <w:ind w:firstLine="0" w:firstLineChars="0"/>
              <w:jc w:val="center"/>
              <w:rPr>
                <w:rFonts w:hint="eastAsia"/>
                <w:sz w:val="21"/>
                <w:szCs w:val="21"/>
                <w:lang w:val="en-US" w:eastAsia="zh-CN"/>
              </w:rPr>
            </w:pPr>
            <w:r>
              <w:rPr>
                <w:sz w:val="21"/>
                <w:szCs w:val="21"/>
              </w:rPr>
              <w:t>存放区</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占地面积，108m*30m=3240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占地面积，108m*30m=3240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给水</w:t>
            </w:r>
          </w:p>
          <w:p>
            <w:pPr>
              <w:pStyle w:val="7"/>
              <w:spacing w:line="240" w:lineRule="auto"/>
              <w:ind w:firstLine="0" w:firstLineChars="0"/>
              <w:jc w:val="center"/>
              <w:rPr>
                <w:rFonts w:hint="eastAsia"/>
                <w:sz w:val="21"/>
                <w:szCs w:val="21"/>
                <w:lang w:val="en-US" w:eastAsia="zh-CN"/>
              </w:rPr>
            </w:pPr>
            <w:r>
              <w:rPr>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依托市政管网供水</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依托市政管网供水</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排水</w:t>
            </w:r>
          </w:p>
          <w:p>
            <w:pPr>
              <w:pStyle w:val="7"/>
              <w:spacing w:line="240" w:lineRule="auto"/>
              <w:ind w:firstLine="0" w:firstLineChars="0"/>
              <w:jc w:val="center"/>
              <w:rPr>
                <w:rFonts w:hint="eastAsia"/>
                <w:sz w:val="21"/>
                <w:szCs w:val="21"/>
                <w:lang w:val="en-US" w:eastAsia="zh-CN"/>
              </w:rPr>
            </w:pPr>
            <w:r>
              <w:rPr>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依托厂区内现状排水系统，确保雨污分流</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依托厂区内现状排水系统，确保雨污分流</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油漆</w:t>
            </w:r>
          </w:p>
          <w:p>
            <w:pPr>
              <w:pStyle w:val="7"/>
              <w:spacing w:line="240" w:lineRule="auto"/>
              <w:ind w:firstLine="0" w:firstLineChars="0"/>
              <w:jc w:val="center"/>
              <w:rPr>
                <w:rFonts w:hint="eastAsia"/>
                <w:sz w:val="21"/>
                <w:szCs w:val="21"/>
                <w:lang w:val="en-US" w:eastAsia="zh-CN"/>
              </w:rPr>
            </w:pPr>
            <w:r>
              <w:rPr>
                <w:sz w:val="21"/>
                <w:szCs w:val="21"/>
              </w:rPr>
              <w:t>仓库</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lang w:val="en-US" w:eastAsia="zh-CN"/>
              </w:rPr>
              <w:t>建筑面积</w:t>
            </w:r>
            <w:r>
              <w:rPr>
                <w:rFonts w:hint="eastAsia"/>
                <w:sz w:val="21"/>
                <w:szCs w:val="21"/>
              </w:rPr>
              <w:t>160m</w:t>
            </w:r>
            <w:r>
              <w:rPr>
                <w:rFonts w:hint="eastAsia"/>
                <w:sz w:val="21"/>
                <w:szCs w:val="21"/>
                <w:vertAlign w:val="superscript"/>
              </w:rPr>
              <w:t>2</w:t>
            </w:r>
            <w:r>
              <w:rPr>
                <w:sz w:val="21"/>
                <w:szCs w:val="21"/>
              </w:rPr>
              <w:t>，主要是用于油漆的存放</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lang w:val="en-US" w:eastAsia="zh-CN"/>
              </w:rPr>
              <w:t>建筑面积</w:t>
            </w:r>
            <w:r>
              <w:rPr>
                <w:rFonts w:hint="eastAsia"/>
                <w:sz w:val="21"/>
                <w:szCs w:val="21"/>
              </w:rPr>
              <w:t>160m</w:t>
            </w:r>
            <w:r>
              <w:rPr>
                <w:rFonts w:hint="eastAsia"/>
                <w:sz w:val="21"/>
                <w:szCs w:val="21"/>
                <w:vertAlign w:val="superscript"/>
              </w:rPr>
              <w:t>2</w:t>
            </w:r>
            <w:r>
              <w:rPr>
                <w:sz w:val="21"/>
                <w:szCs w:val="21"/>
              </w:rPr>
              <w:t>，主要是用于油漆的存放</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制冷</w:t>
            </w:r>
          </w:p>
          <w:p>
            <w:pPr>
              <w:pStyle w:val="7"/>
              <w:spacing w:line="240" w:lineRule="auto"/>
              <w:ind w:firstLine="0" w:firstLineChars="0"/>
              <w:jc w:val="center"/>
              <w:rPr>
                <w:rFonts w:hint="eastAsia"/>
                <w:sz w:val="21"/>
                <w:szCs w:val="21"/>
                <w:lang w:val="en-US" w:eastAsia="zh-CN"/>
              </w:rPr>
            </w:pPr>
            <w:r>
              <w:rPr>
                <w:rFonts w:hint="eastAsia"/>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车间办公室依托现状分体式空调；生活区及办公供暖利用中央空调系统供暖，冷却塔型号为 DBNL-100T，提供生活区及办公区的制冷</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车间办公室依托现状分体式空调；生活区及办公供暖利用中央空调系统供暖，冷却塔型号为 DBNL-100T，提供生活区及办公区的制冷</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电器</w:t>
            </w:r>
          </w:p>
          <w:p>
            <w:pPr>
              <w:pStyle w:val="7"/>
              <w:spacing w:line="240" w:lineRule="auto"/>
              <w:ind w:firstLine="0" w:firstLineChars="0"/>
              <w:jc w:val="center"/>
              <w:rPr>
                <w:rFonts w:hint="eastAsia"/>
                <w:sz w:val="21"/>
                <w:szCs w:val="21"/>
                <w:lang w:val="en-US" w:eastAsia="zh-CN"/>
              </w:rPr>
            </w:pPr>
            <w:r>
              <w:rPr>
                <w:rFonts w:hint="eastAsia"/>
                <w:sz w:val="21"/>
                <w:szCs w:val="21"/>
              </w:rPr>
              <w:t>车间</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主要生产产品所需要的电器外购件，包括电缆，配线箱等外协电器产品</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主要生产产品所需要的电器外购件，包括电缆，配线箱等外协电器产品</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机械</w:t>
            </w:r>
          </w:p>
          <w:p>
            <w:pPr>
              <w:pStyle w:val="7"/>
              <w:spacing w:line="240" w:lineRule="auto"/>
              <w:ind w:firstLine="0" w:firstLineChars="0"/>
              <w:jc w:val="center"/>
              <w:rPr>
                <w:rFonts w:hint="eastAsia"/>
                <w:sz w:val="21"/>
                <w:szCs w:val="21"/>
                <w:lang w:val="en-US" w:eastAsia="zh-CN"/>
              </w:rPr>
            </w:pPr>
            <w:r>
              <w:rPr>
                <w:rFonts w:hint="eastAsia"/>
                <w:sz w:val="21"/>
                <w:szCs w:val="21"/>
              </w:rPr>
              <w:t>仓库</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主要储存电机、减速机、万向轴、接手、制动器等外协产品</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主要储存电机、减速机、万向轴、接手、制动器等外协产品</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供电</w:t>
            </w:r>
          </w:p>
          <w:p>
            <w:pPr>
              <w:pStyle w:val="7"/>
              <w:spacing w:line="240" w:lineRule="auto"/>
              <w:ind w:firstLine="0" w:firstLineChars="0"/>
              <w:jc w:val="center"/>
              <w:rPr>
                <w:rFonts w:hint="eastAsia"/>
                <w:sz w:val="21"/>
                <w:szCs w:val="21"/>
                <w:lang w:val="en-US" w:eastAsia="zh-CN"/>
              </w:rPr>
            </w:pPr>
            <w:r>
              <w:rPr>
                <w:sz w:val="21"/>
                <w:szCs w:val="21"/>
              </w:rPr>
              <w:t>系统</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依托项目区域市政供电</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依托项目区域市政供电</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cs="Times New Roman"/>
                <w:sz w:val="21"/>
                <w:szCs w:val="21"/>
              </w:rPr>
            </w:pPr>
          </w:p>
        </w:tc>
        <w:tc>
          <w:tcPr>
            <w:tcW w:w="925"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消防</w:t>
            </w:r>
            <w:r>
              <w:rPr>
                <w:rFonts w:hint="eastAsia"/>
                <w:sz w:val="21"/>
                <w:szCs w:val="21"/>
              </w:rPr>
              <w:t>站</w:t>
            </w:r>
          </w:p>
        </w:tc>
        <w:tc>
          <w:tcPr>
            <w:tcW w:w="2629"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在厂区西北角设置有消防泵房</w:t>
            </w:r>
          </w:p>
        </w:tc>
        <w:tc>
          <w:tcPr>
            <w:tcW w:w="2567"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在厂区西北角设置有消防泵房</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restart"/>
            <w:tcBorders>
              <w:tl2br w:val="nil"/>
              <w:tr2bl w:val="nil"/>
            </w:tcBorders>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办公生活设施</w:t>
            </w: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办公楼</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4层，高11m，建筑面积3496</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4层，高11m，建筑面积3496</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1号宿舍楼</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2号宿舍楼</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6层，高18m，建筑面积6764.8</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停车场</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面积120m*22m=264</w:t>
            </w:r>
            <w:r>
              <w:rPr>
                <w:rFonts w:hint="eastAsia"/>
                <w:sz w:val="21"/>
                <w:szCs w:val="21"/>
              </w:rPr>
              <w:t>0m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面积120m*22m=264</w:t>
            </w:r>
            <w:r>
              <w:rPr>
                <w:rFonts w:hint="eastAsia"/>
                <w:sz w:val="21"/>
                <w:szCs w:val="21"/>
              </w:rPr>
              <w:t>0m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职工</w:t>
            </w:r>
          </w:p>
          <w:p>
            <w:pPr>
              <w:pStyle w:val="7"/>
              <w:spacing w:line="240" w:lineRule="auto"/>
              <w:ind w:firstLine="0" w:firstLineChars="0"/>
              <w:jc w:val="center"/>
              <w:rPr>
                <w:sz w:val="21"/>
                <w:szCs w:val="21"/>
              </w:rPr>
            </w:pPr>
            <w:r>
              <w:rPr>
                <w:sz w:val="21"/>
                <w:szCs w:val="21"/>
              </w:rPr>
              <w:t>餐厅</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1层，高3m，建筑面积75m*38m=2850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1层，高3m，建筑面积75m*38m=2850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6" w:type="dxa"/>
            <w:vMerge w:val="continue"/>
            <w:tcBorders>
              <w:tl2br w:val="nil"/>
              <w:tr2bl w:val="nil"/>
            </w:tcBorders>
            <w:vAlign w:val="center"/>
          </w:tcPr>
          <w:p>
            <w:pPr>
              <w:widowControl/>
              <w:adjustRightInd w:val="0"/>
              <w:snapToGrid w:val="0"/>
              <w:spacing w:line="240" w:lineRule="auto"/>
              <w:ind w:firstLine="0" w:firstLineChars="0"/>
              <w:jc w:val="center"/>
              <w:rPr>
                <w:rFonts w:hint="eastAsia" w:cs="Times New Roman"/>
                <w:sz w:val="21"/>
                <w:szCs w:val="21"/>
                <w:lang w:val="en-US" w:eastAsia="zh-CN"/>
              </w:rPr>
            </w:pPr>
          </w:p>
        </w:tc>
        <w:tc>
          <w:tcPr>
            <w:tcW w:w="925" w:type="dxa"/>
            <w:tcBorders>
              <w:tl2br w:val="nil"/>
              <w:tr2bl w:val="nil"/>
            </w:tcBorders>
            <w:vAlign w:val="center"/>
          </w:tcPr>
          <w:p>
            <w:pPr>
              <w:pStyle w:val="7"/>
              <w:spacing w:line="240" w:lineRule="auto"/>
              <w:ind w:firstLine="0" w:firstLineChars="0"/>
              <w:jc w:val="center"/>
              <w:rPr>
                <w:sz w:val="21"/>
                <w:szCs w:val="21"/>
              </w:rPr>
            </w:pPr>
            <w:r>
              <w:rPr>
                <w:sz w:val="21"/>
                <w:szCs w:val="21"/>
              </w:rPr>
              <w:t>车棚</w:t>
            </w:r>
          </w:p>
        </w:tc>
        <w:tc>
          <w:tcPr>
            <w:tcW w:w="2629"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1层，高3m，建筑面积120m*18m=2160</w:t>
            </w:r>
            <w:r>
              <w:rPr>
                <w:rFonts w:hint="eastAsia"/>
                <w:sz w:val="21"/>
                <w:szCs w:val="21"/>
              </w:rPr>
              <w:t>m</w:t>
            </w:r>
            <w:r>
              <w:rPr>
                <w:rFonts w:hint="eastAsia"/>
                <w:sz w:val="21"/>
                <w:szCs w:val="21"/>
                <w:vertAlign w:val="superscript"/>
              </w:rPr>
              <w:t>2</w:t>
            </w:r>
          </w:p>
        </w:tc>
        <w:tc>
          <w:tcPr>
            <w:tcW w:w="2567" w:type="dxa"/>
            <w:tcBorders>
              <w:tl2br w:val="nil"/>
              <w:tr2bl w:val="nil"/>
            </w:tcBorders>
            <w:vAlign w:val="center"/>
          </w:tcPr>
          <w:p>
            <w:pPr>
              <w:pStyle w:val="7"/>
              <w:spacing w:line="240" w:lineRule="auto"/>
              <w:ind w:firstLine="0" w:firstLineChars="0"/>
              <w:jc w:val="center"/>
              <w:rPr>
                <w:sz w:val="21"/>
                <w:szCs w:val="21"/>
              </w:rPr>
            </w:pPr>
            <w:r>
              <w:rPr>
                <w:sz w:val="21"/>
                <w:szCs w:val="21"/>
              </w:rPr>
              <w:t>1层，高3m，建筑面积120m*18m=2160</w:t>
            </w:r>
            <w:r>
              <w:rPr>
                <w:rFonts w:hint="eastAsia"/>
                <w:sz w:val="21"/>
                <w:szCs w:val="21"/>
              </w:rPr>
              <w:t>m</w:t>
            </w:r>
            <w:r>
              <w:rPr>
                <w:rFonts w:hint="eastAsia"/>
                <w:sz w:val="21"/>
                <w:szCs w:val="21"/>
                <w:vertAlign w:val="superscript"/>
              </w:rPr>
              <w:t>2</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不变</w:t>
            </w:r>
          </w:p>
        </w:tc>
      </w:tr>
    </w:tbl>
    <w:p>
      <w:pPr>
        <w:keepNext w:val="0"/>
        <w:keepLines w:val="0"/>
        <w:pageBreakBefore w:val="0"/>
        <w:widowControl w:val="0"/>
        <w:kinsoku/>
        <w:wordWrap/>
        <w:overflowPunct/>
        <w:topLinePunct w:val="0"/>
        <w:autoSpaceDE/>
        <w:autoSpaceDN/>
        <w:bidi w:val="0"/>
        <w:adjustRightInd/>
        <w:snapToGrid/>
        <w:spacing w:line="520" w:lineRule="exact"/>
        <w:ind w:firstLine="422"/>
        <w:jc w:val="center"/>
        <w:textAlignment w:val="auto"/>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3</w:t>
      </w:r>
      <w:r>
        <w:rPr>
          <w:rFonts w:cs="Times New Roman"/>
          <w:b/>
          <w:bCs/>
          <w:color w:val="000000" w:themeColor="text1"/>
          <w:sz w:val="24"/>
          <w:szCs w:val="24"/>
          <w14:textFill>
            <w14:solidFill>
              <w14:schemeClr w14:val="tx1"/>
            </w14:solidFill>
          </w14:textFill>
        </w:rPr>
        <w:t xml:space="preserve">  本</w:t>
      </w:r>
      <w:r>
        <w:rPr>
          <w:rFonts w:hint="eastAsia" w:cs="Times New Roman"/>
          <w:b/>
          <w:bCs/>
          <w:color w:val="000000" w:themeColor="text1"/>
          <w:sz w:val="24"/>
          <w:szCs w:val="24"/>
          <w:lang w:val="en-US" w:eastAsia="zh-CN"/>
          <w14:textFill>
            <w14:solidFill>
              <w14:schemeClr w14:val="tx1"/>
            </w14:solidFill>
          </w14:textFill>
        </w:rPr>
        <w:t>项目及全厂</w:t>
      </w:r>
      <w:r>
        <w:rPr>
          <w:rFonts w:cs="Times New Roman"/>
          <w:b/>
          <w:bCs/>
          <w:color w:val="000000" w:themeColor="text1"/>
          <w:sz w:val="24"/>
          <w:szCs w:val="24"/>
          <w14:textFill>
            <w14:solidFill>
              <w14:schemeClr w14:val="tx1"/>
            </w14:solidFill>
          </w14:textFill>
        </w:rPr>
        <w:t>主要产品方案及产量一览表</w:t>
      </w:r>
    </w:p>
    <w:tbl>
      <w:tblPr>
        <w:tblStyle w:val="21"/>
        <w:tblW w:w="504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605"/>
        <w:gridCol w:w="1552"/>
        <w:gridCol w:w="1553"/>
        <w:gridCol w:w="1435"/>
        <w:gridCol w:w="1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eastAsia" w:eastAsiaTheme="minorEastAsia"/>
                <w:b/>
                <w:bCs/>
                <w:color w:val="auto"/>
                <w:sz w:val="21"/>
                <w:szCs w:val="21"/>
                <w:lang w:eastAsia="zh-CN"/>
              </w:rPr>
            </w:pPr>
            <w:r>
              <w:rPr>
                <w:rFonts w:hint="eastAsia"/>
                <w:b/>
                <w:bCs/>
                <w:color w:val="auto"/>
                <w:sz w:val="21"/>
                <w:szCs w:val="21"/>
                <w:lang w:val="en-US" w:eastAsia="zh-CN"/>
              </w:rPr>
              <w:t>序号</w:t>
            </w:r>
          </w:p>
        </w:tc>
        <w:tc>
          <w:tcPr>
            <w:tcW w:w="1605" w:type="dxa"/>
            <w:tcBorders>
              <w:tl2br w:val="nil"/>
              <w:tr2bl w:val="nil"/>
            </w:tcBorders>
            <w:vAlign w:val="center"/>
          </w:tcPr>
          <w:p>
            <w:pPr>
              <w:pStyle w:val="7"/>
              <w:spacing w:line="240" w:lineRule="auto"/>
              <w:ind w:firstLine="0" w:firstLineChars="0"/>
              <w:jc w:val="center"/>
              <w:rPr>
                <w:b/>
                <w:bCs/>
                <w:color w:val="auto"/>
                <w:sz w:val="21"/>
                <w:szCs w:val="21"/>
              </w:rPr>
            </w:pPr>
            <w:r>
              <w:rPr>
                <w:rFonts w:hint="eastAsia"/>
                <w:b/>
                <w:bCs/>
                <w:color w:val="auto"/>
                <w:sz w:val="21"/>
                <w:szCs w:val="21"/>
                <w:lang w:val="en-US" w:eastAsia="zh-CN"/>
              </w:rPr>
              <w:t>产品名称</w:t>
            </w:r>
          </w:p>
        </w:tc>
        <w:tc>
          <w:tcPr>
            <w:tcW w:w="1552"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本项目环评</w:t>
            </w:r>
          </w:p>
          <w:p>
            <w:pPr>
              <w:pStyle w:val="7"/>
              <w:spacing w:line="240" w:lineRule="auto"/>
              <w:ind w:firstLine="0" w:firstLineChars="0"/>
              <w:jc w:val="center"/>
              <w:rPr>
                <w:rFonts w:hint="default" w:eastAsiaTheme="minorEastAsia"/>
                <w:b/>
                <w:bCs/>
                <w:color w:val="auto"/>
                <w:sz w:val="21"/>
                <w:szCs w:val="21"/>
                <w:lang w:val="en-US" w:eastAsia="zh-CN"/>
              </w:rPr>
            </w:pPr>
            <w:r>
              <w:rPr>
                <w:rFonts w:hint="eastAsia"/>
                <w:b/>
                <w:bCs/>
                <w:color w:val="auto"/>
                <w:sz w:val="21"/>
                <w:szCs w:val="21"/>
                <w:lang w:val="en-US" w:eastAsia="zh-CN"/>
              </w:rPr>
              <w:t>产品方案</w:t>
            </w:r>
          </w:p>
        </w:tc>
        <w:tc>
          <w:tcPr>
            <w:tcW w:w="1553"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全厂环评</w:t>
            </w:r>
          </w:p>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产品方案</w:t>
            </w:r>
          </w:p>
        </w:tc>
        <w:tc>
          <w:tcPr>
            <w:tcW w:w="1435"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本项目实际</w:t>
            </w:r>
          </w:p>
          <w:p>
            <w:pPr>
              <w:pStyle w:val="7"/>
              <w:spacing w:line="240" w:lineRule="auto"/>
              <w:ind w:firstLine="0" w:firstLineChars="0"/>
              <w:jc w:val="center"/>
              <w:rPr>
                <w:b/>
                <w:bCs/>
                <w:color w:val="auto"/>
                <w:sz w:val="21"/>
                <w:szCs w:val="21"/>
              </w:rPr>
            </w:pPr>
            <w:r>
              <w:rPr>
                <w:rFonts w:hint="eastAsia"/>
                <w:b/>
                <w:bCs/>
                <w:color w:val="auto"/>
                <w:sz w:val="21"/>
                <w:szCs w:val="21"/>
                <w:lang w:val="en-US" w:eastAsia="zh-CN"/>
              </w:rPr>
              <w:t>产品方案</w:t>
            </w:r>
          </w:p>
        </w:tc>
        <w:tc>
          <w:tcPr>
            <w:tcW w:w="1435" w:type="dxa"/>
            <w:tcBorders>
              <w:tl2br w:val="nil"/>
              <w:tr2bl w:val="nil"/>
            </w:tcBorders>
            <w:vAlign w:val="center"/>
          </w:tcPr>
          <w:p>
            <w:pPr>
              <w:pStyle w:val="7"/>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全厂实际</w:t>
            </w:r>
          </w:p>
          <w:p>
            <w:pPr>
              <w:pStyle w:val="7"/>
              <w:spacing w:line="240" w:lineRule="auto"/>
              <w:ind w:firstLine="0" w:firstLineChars="0"/>
              <w:jc w:val="center"/>
              <w:rPr>
                <w:b/>
                <w:bCs/>
                <w:color w:val="auto"/>
                <w:sz w:val="21"/>
                <w:szCs w:val="21"/>
              </w:rPr>
            </w:pPr>
            <w:r>
              <w:rPr>
                <w:rFonts w:hint="eastAsia"/>
                <w:b/>
                <w:bCs/>
                <w:color w:val="auto"/>
                <w:sz w:val="21"/>
                <w:szCs w:val="21"/>
                <w:lang w:val="en-US" w:eastAsia="zh-CN"/>
              </w:rPr>
              <w:t>产品方案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w:t>
            </w:r>
          </w:p>
        </w:tc>
        <w:tc>
          <w:tcPr>
            <w:tcW w:w="1605" w:type="dxa"/>
            <w:tcBorders>
              <w:tl2br w:val="nil"/>
              <w:tr2bl w:val="nil"/>
            </w:tcBorders>
            <w:vAlign w:val="center"/>
          </w:tcPr>
          <w:p>
            <w:pPr>
              <w:pStyle w:val="7"/>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单梁起重机</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9000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6000</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9000</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w:t>
            </w:r>
          </w:p>
        </w:tc>
        <w:tc>
          <w:tcPr>
            <w:tcW w:w="1605"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双梁起重机</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5000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5000</w:t>
            </w:r>
          </w:p>
        </w:tc>
        <w:tc>
          <w:tcPr>
            <w:tcW w:w="14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w:t>
            </w:r>
          </w:p>
        </w:tc>
        <w:tc>
          <w:tcPr>
            <w:tcW w:w="1605"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立体车库</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100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6"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1605" w:type="dxa"/>
            <w:tcBorders>
              <w:tl2br w:val="nil"/>
              <w:tr2bl w:val="nil"/>
            </w:tcBorders>
            <w:vAlign w:val="center"/>
          </w:tcPr>
          <w:p>
            <w:pPr>
              <w:pStyle w:val="7"/>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电动葫芦</w:t>
            </w:r>
          </w:p>
        </w:tc>
        <w:tc>
          <w:tcPr>
            <w:tcW w:w="155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24000</w:t>
            </w:r>
          </w:p>
        </w:tc>
        <w:tc>
          <w:tcPr>
            <w:tcW w:w="155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6000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b/>
          <w:bCs/>
          <w:sz w:val="24"/>
          <w:szCs w:val="24"/>
        </w:rPr>
      </w:pPr>
      <w:r>
        <w:rPr>
          <w:rFonts w:cs="Times New Roman"/>
          <w:b/>
          <w:bCs/>
          <w:sz w:val="24"/>
          <w:szCs w:val="24"/>
        </w:rPr>
        <w:t>表3-</w:t>
      </w:r>
      <w:r>
        <w:rPr>
          <w:rFonts w:hint="eastAsia" w:cs="Times New Roman"/>
          <w:b/>
          <w:bCs/>
          <w:sz w:val="24"/>
          <w:szCs w:val="24"/>
          <w:lang w:val="en-US" w:eastAsia="zh-CN"/>
        </w:rPr>
        <w:t>4</w:t>
      </w:r>
      <w:r>
        <w:rPr>
          <w:rFonts w:cs="Times New Roman"/>
          <w:b/>
          <w:bCs/>
          <w:sz w:val="24"/>
          <w:szCs w:val="24"/>
        </w:rPr>
        <w:t xml:space="preserve">  </w:t>
      </w:r>
      <w:r>
        <w:rPr>
          <w:rFonts w:hint="eastAsia" w:cs="Times New Roman"/>
          <w:b/>
          <w:bCs/>
          <w:sz w:val="24"/>
          <w:szCs w:val="24"/>
          <w:lang w:val="en-US" w:eastAsia="zh-CN"/>
        </w:rPr>
        <w:t>本</w:t>
      </w:r>
      <w:r>
        <w:rPr>
          <w:rFonts w:cs="Times New Roman"/>
          <w:b/>
          <w:bCs/>
          <w:sz w:val="24"/>
          <w:szCs w:val="24"/>
        </w:rPr>
        <w:t>项目建设</w:t>
      </w:r>
      <w:r>
        <w:rPr>
          <w:rFonts w:hint="eastAsia" w:cs="Times New Roman"/>
          <w:b/>
          <w:bCs/>
          <w:sz w:val="24"/>
          <w:szCs w:val="24"/>
          <w:lang w:val="en-US" w:eastAsia="zh-CN"/>
        </w:rPr>
        <w:t>设备</w:t>
      </w:r>
      <w:r>
        <w:rPr>
          <w:rFonts w:cs="Times New Roman"/>
          <w:b/>
          <w:bCs/>
          <w:sz w:val="24"/>
          <w:szCs w:val="24"/>
        </w:rPr>
        <w:t>变化情况一览表</w:t>
      </w:r>
    </w:p>
    <w:tbl>
      <w:tblPr>
        <w:tblStyle w:val="21"/>
        <w:tblW w:w="92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32"/>
        <w:gridCol w:w="1631"/>
        <w:gridCol w:w="1596"/>
        <w:gridCol w:w="573"/>
        <w:gridCol w:w="1784"/>
        <w:gridCol w:w="600"/>
        <w:gridCol w:w="2086"/>
        <w:gridCol w:w="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32" w:type="dxa"/>
            <w:vMerge w:val="restart"/>
            <w:tcBorders>
              <w:tl2br w:val="nil"/>
              <w:tr2bl w:val="nil"/>
            </w:tcBorders>
            <w:vAlign w:val="center"/>
          </w:tcPr>
          <w:p>
            <w:pPr>
              <w:pStyle w:val="7"/>
              <w:spacing w:line="240" w:lineRule="auto"/>
              <w:ind w:firstLine="0" w:firstLineChars="0"/>
              <w:jc w:val="center"/>
              <w:rPr>
                <w:b/>
                <w:bCs/>
                <w:sz w:val="21"/>
                <w:szCs w:val="21"/>
              </w:rPr>
            </w:pPr>
            <w:bookmarkStart w:id="100" w:name="_Toc28148"/>
            <w:bookmarkStart w:id="101" w:name="_Toc20196"/>
            <w:bookmarkStart w:id="102" w:name="_Toc26332"/>
            <w:bookmarkStart w:id="103" w:name="_Toc13309"/>
            <w:bookmarkStart w:id="104" w:name="_Toc27956"/>
            <w:bookmarkStart w:id="105" w:name="_Toc7914"/>
            <w:bookmarkStart w:id="106" w:name="_Toc19686"/>
            <w:bookmarkStart w:id="107" w:name="_Toc14176"/>
            <w:bookmarkStart w:id="108" w:name="_Toc6371"/>
            <w:bookmarkStart w:id="109" w:name="_Toc20359"/>
            <w:bookmarkStart w:id="110" w:name="_Toc19403"/>
            <w:r>
              <w:rPr>
                <w:b/>
                <w:bCs/>
                <w:sz w:val="21"/>
                <w:szCs w:val="21"/>
              </w:rPr>
              <w:t>序号</w:t>
            </w:r>
          </w:p>
        </w:tc>
        <w:tc>
          <w:tcPr>
            <w:tcW w:w="1631" w:type="dxa"/>
            <w:vMerge w:val="restart"/>
            <w:tcBorders>
              <w:tl2br w:val="nil"/>
              <w:tr2bl w:val="nil"/>
            </w:tcBorders>
            <w:vAlign w:val="center"/>
          </w:tcPr>
          <w:p>
            <w:pPr>
              <w:pStyle w:val="7"/>
              <w:spacing w:line="240" w:lineRule="auto"/>
              <w:ind w:firstLine="0" w:firstLineChars="0"/>
              <w:jc w:val="center"/>
              <w:rPr>
                <w:b/>
                <w:bCs/>
                <w:sz w:val="21"/>
                <w:szCs w:val="21"/>
              </w:rPr>
            </w:pPr>
            <w:r>
              <w:rPr>
                <w:b/>
                <w:bCs/>
                <w:sz w:val="21"/>
                <w:szCs w:val="21"/>
              </w:rPr>
              <w:t>设备名称</w:t>
            </w:r>
          </w:p>
        </w:tc>
        <w:tc>
          <w:tcPr>
            <w:tcW w:w="2169" w:type="dxa"/>
            <w:gridSpan w:val="2"/>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现有项目</w:t>
            </w:r>
          </w:p>
        </w:tc>
        <w:tc>
          <w:tcPr>
            <w:tcW w:w="2384" w:type="dxa"/>
            <w:gridSpan w:val="2"/>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扩建项目</w:t>
            </w:r>
          </w:p>
        </w:tc>
        <w:tc>
          <w:tcPr>
            <w:tcW w:w="2610" w:type="dxa"/>
            <w:gridSpan w:val="2"/>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总体项目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32" w:type="dxa"/>
            <w:vMerge w:val="continue"/>
            <w:tcBorders>
              <w:tl2br w:val="nil"/>
              <w:tr2bl w:val="nil"/>
            </w:tcBorders>
            <w:vAlign w:val="center"/>
          </w:tcPr>
          <w:p>
            <w:pPr>
              <w:pStyle w:val="7"/>
              <w:spacing w:line="240" w:lineRule="auto"/>
              <w:ind w:firstLine="0" w:firstLineChars="0"/>
              <w:jc w:val="center"/>
              <w:rPr>
                <w:b/>
                <w:bCs/>
                <w:sz w:val="21"/>
                <w:szCs w:val="21"/>
              </w:rPr>
            </w:pPr>
          </w:p>
        </w:tc>
        <w:tc>
          <w:tcPr>
            <w:tcW w:w="1631" w:type="dxa"/>
            <w:vMerge w:val="continue"/>
            <w:tcBorders>
              <w:tl2br w:val="nil"/>
              <w:tr2bl w:val="nil"/>
            </w:tcBorders>
            <w:vAlign w:val="center"/>
          </w:tcPr>
          <w:p>
            <w:pPr>
              <w:pStyle w:val="7"/>
              <w:spacing w:line="240" w:lineRule="auto"/>
              <w:ind w:firstLine="0" w:firstLineChars="0"/>
              <w:jc w:val="center"/>
              <w:rPr>
                <w:b/>
                <w:bCs/>
                <w:sz w:val="21"/>
                <w:szCs w:val="21"/>
              </w:rPr>
            </w:pPr>
          </w:p>
        </w:tc>
        <w:tc>
          <w:tcPr>
            <w:tcW w:w="1596"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型号</w:t>
            </w:r>
          </w:p>
        </w:tc>
        <w:tc>
          <w:tcPr>
            <w:tcW w:w="573"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设备数量</w:t>
            </w:r>
          </w:p>
        </w:tc>
        <w:tc>
          <w:tcPr>
            <w:tcW w:w="1784"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型号</w:t>
            </w:r>
          </w:p>
        </w:tc>
        <w:tc>
          <w:tcPr>
            <w:tcW w:w="600" w:type="dxa"/>
            <w:tcBorders>
              <w:tl2br w:val="nil"/>
              <w:tr2bl w:val="nil"/>
            </w:tcBorders>
            <w:vAlign w:val="center"/>
          </w:tcPr>
          <w:p>
            <w:pPr>
              <w:pStyle w:val="7"/>
              <w:spacing w:line="240" w:lineRule="auto"/>
              <w:ind w:firstLine="0" w:firstLineChars="0"/>
              <w:jc w:val="center"/>
              <w:rPr>
                <w:b/>
                <w:bCs/>
                <w:sz w:val="21"/>
                <w:szCs w:val="21"/>
              </w:rPr>
            </w:pPr>
            <w:r>
              <w:rPr>
                <w:rFonts w:hint="eastAsia"/>
                <w:b/>
                <w:bCs/>
                <w:sz w:val="21"/>
                <w:szCs w:val="21"/>
              </w:rPr>
              <w:t>设备数量</w:t>
            </w:r>
          </w:p>
        </w:tc>
        <w:tc>
          <w:tcPr>
            <w:tcW w:w="2086" w:type="dxa"/>
            <w:tcBorders>
              <w:tl2br w:val="nil"/>
              <w:tr2bl w:val="nil"/>
            </w:tcBorders>
            <w:vAlign w:val="center"/>
          </w:tcPr>
          <w:p>
            <w:pPr>
              <w:pStyle w:val="7"/>
              <w:spacing w:line="240" w:lineRule="auto"/>
              <w:ind w:firstLine="0" w:firstLineChars="0"/>
              <w:jc w:val="center"/>
              <w:rPr>
                <w:b/>
                <w:bCs/>
                <w:sz w:val="21"/>
                <w:szCs w:val="21"/>
              </w:rPr>
            </w:pPr>
            <w:r>
              <w:rPr>
                <w:b/>
                <w:bCs/>
                <w:sz w:val="21"/>
                <w:szCs w:val="21"/>
              </w:rPr>
              <w:t>设备型号</w:t>
            </w:r>
          </w:p>
        </w:tc>
        <w:tc>
          <w:tcPr>
            <w:tcW w:w="524" w:type="dxa"/>
            <w:tcBorders>
              <w:tl2br w:val="nil"/>
              <w:tr2bl w:val="nil"/>
            </w:tcBorders>
            <w:vAlign w:val="center"/>
          </w:tcPr>
          <w:p>
            <w:pPr>
              <w:pStyle w:val="7"/>
              <w:spacing w:line="240" w:lineRule="auto"/>
              <w:ind w:firstLine="0" w:firstLineChars="0"/>
              <w:jc w:val="center"/>
              <w:rPr>
                <w:b/>
                <w:bCs/>
                <w:sz w:val="21"/>
                <w:szCs w:val="21"/>
              </w:rPr>
            </w:pPr>
            <w:r>
              <w:rPr>
                <w:b/>
                <w:bCs/>
                <w:sz w:val="21"/>
                <w:szCs w:val="21"/>
              </w:rPr>
              <w:t>设备数量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6" w:type="dxa"/>
            <w:gridSpan w:val="8"/>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单梁车间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LDA5t-25.5m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LDA5t-25.5m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LDA5t-25.5m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LDA10t-28.5m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LDA10t-28.5m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电动葫芦桥式起重机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LH10t-19.5m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LH10t-19.5m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电动葫芦桥式起重机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LH2.952/10t-19.5m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LH2.952/10t-19.5m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LDA10t-19.5m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LDA10t-19.5m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电磁挂梁起重机（桥双）</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QC 3+3t-19.5m A5</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QC 3+3t-19.5m A5</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LDA2.95T-25.5M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LDA2.95T-25.5M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LDA2.95T-25.5M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HD3t-25.5m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HD3t-25.5m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HD10t-25.5m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QD10/3.2t-19.5m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QD10/3.2t-19.5m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QD10/3.2t-19.5m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LD10t-25.5m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LD10t-25.5m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HD10/5t-28.5m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HD10/5t-28.5m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HD10/5t-28.5m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单梁冷弯成型生产线</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LFLW-6×2000</w:t>
            </w:r>
          </w:p>
          <w:p>
            <w:pPr>
              <w:pStyle w:val="7"/>
              <w:spacing w:line="240" w:lineRule="auto"/>
              <w:ind w:firstLine="0" w:firstLineChars="0"/>
              <w:jc w:val="center"/>
              <w:rPr>
                <w:sz w:val="21"/>
                <w:szCs w:val="21"/>
              </w:rPr>
            </w:pPr>
            <w:r>
              <w:rPr>
                <w:sz w:val="21"/>
                <w:szCs w:val="21"/>
              </w:rPr>
              <w:t>LFLW-6×600</w:t>
            </w:r>
          </w:p>
          <w:p>
            <w:pPr>
              <w:pStyle w:val="7"/>
              <w:spacing w:line="240" w:lineRule="auto"/>
              <w:ind w:firstLine="0" w:firstLineChars="0"/>
              <w:jc w:val="center"/>
              <w:rPr>
                <w:sz w:val="21"/>
                <w:szCs w:val="21"/>
              </w:rPr>
            </w:pPr>
            <w:r>
              <w:rPr>
                <w:sz w:val="21"/>
                <w:szCs w:val="21"/>
              </w:rPr>
              <w:t>SSR-8×2000</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LFLW-6×2000</w:t>
            </w:r>
          </w:p>
          <w:p>
            <w:pPr>
              <w:pStyle w:val="7"/>
              <w:spacing w:line="240" w:lineRule="auto"/>
              <w:ind w:firstLine="0" w:firstLineChars="0"/>
              <w:jc w:val="center"/>
              <w:rPr>
                <w:sz w:val="21"/>
                <w:szCs w:val="21"/>
              </w:rPr>
            </w:pPr>
            <w:r>
              <w:rPr>
                <w:sz w:val="21"/>
                <w:szCs w:val="21"/>
              </w:rPr>
              <w:t>LFLW-6×600</w:t>
            </w:r>
          </w:p>
          <w:p>
            <w:pPr>
              <w:pStyle w:val="7"/>
              <w:spacing w:line="240" w:lineRule="auto"/>
              <w:ind w:firstLine="0" w:firstLineChars="0"/>
              <w:jc w:val="center"/>
              <w:rPr>
                <w:sz w:val="21"/>
                <w:szCs w:val="21"/>
              </w:rPr>
            </w:pPr>
            <w:r>
              <w:rPr>
                <w:sz w:val="21"/>
                <w:szCs w:val="21"/>
              </w:rPr>
              <w:t>SSR-8×2000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16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开式压力机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400T</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400T</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sz w:val="21"/>
                <w:szCs w:val="21"/>
              </w:rPr>
              <w:t>1</w:t>
            </w:r>
            <w:r>
              <w:rPr>
                <w:rFonts w:hint="eastAsia"/>
                <w:sz w:val="21"/>
                <w:szCs w:val="21"/>
                <w:lang w:val="en-US" w:eastAsia="zh-CN"/>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冲床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J21-80T</w:t>
            </w:r>
          </w:p>
          <w:p>
            <w:pPr>
              <w:pStyle w:val="7"/>
              <w:spacing w:line="240" w:lineRule="auto"/>
              <w:ind w:firstLine="0" w:firstLineChars="0"/>
              <w:jc w:val="center"/>
              <w:rPr>
                <w:sz w:val="21"/>
                <w:szCs w:val="21"/>
              </w:rPr>
            </w:pPr>
            <w:r>
              <w:rPr>
                <w:sz w:val="21"/>
                <w:szCs w:val="21"/>
              </w:rPr>
              <w:t>JH21-250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J21-165</w:t>
            </w:r>
          </w:p>
          <w:p>
            <w:pPr>
              <w:pStyle w:val="7"/>
              <w:spacing w:line="240" w:lineRule="auto"/>
              <w:ind w:firstLine="0" w:firstLineChars="0"/>
              <w:jc w:val="center"/>
              <w:rPr>
                <w:sz w:val="21"/>
                <w:szCs w:val="21"/>
              </w:rPr>
            </w:pP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J21-165</w:t>
            </w:r>
          </w:p>
          <w:p>
            <w:pPr>
              <w:pStyle w:val="7"/>
              <w:spacing w:line="240" w:lineRule="auto"/>
              <w:ind w:firstLine="0" w:firstLineChars="0"/>
              <w:jc w:val="center"/>
              <w:rPr>
                <w:sz w:val="21"/>
                <w:szCs w:val="21"/>
              </w:rPr>
            </w:pPr>
            <w:r>
              <w:rPr>
                <w:sz w:val="21"/>
                <w:szCs w:val="21"/>
              </w:rPr>
              <w:t>J21-80T</w:t>
            </w:r>
          </w:p>
          <w:p>
            <w:pPr>
              <w:pStyle w:val="7"/>
              <w:spacing w:line="240" w:lineRule="auto"/>
              <w:ind w:firstLine="0" w:firstLineChars="0"/>
              <w:jc w:val="center"/>
              <w:rPr>
                <w:sz w:val="21"/>
                <w:szCs w:val="21"/>
              </w:rPr>
            </w:pPr>
            <w:r>
              <w:rPr>
                <w:sz w:val="21"/>
                <w:szCs w:val="21"/>
              </w:rPr>
              <w:t>JH21-250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冲床</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163T</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163T</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sz w:val="21"/>
                <w:szCs w:val="21"/>
              </w:rPr>
              <w:t>1</w:t>
            </w:r>
            <w:r>
              <w:rPr>
                <w:rFonts w:hint="eastAsia"/>
                <w:sz w:val="21"/>
                <w:szCs w:val="21"/>
                <w:lang w:val="en-US" w:eastAsia="zh-CN"/>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剪板机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Q11 16×2500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Q11 16×2500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Q11 16×2500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液压板料折弯机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W67Y-100/3200</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W67Y-100/3200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开卷校平线</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TDT44-14X2200</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TDT44-14X2200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车床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CA6140A</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CA6140A</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CA6140A</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钻床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Z3050-16/1</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Z3040×13/2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Z3050-16/1</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铣床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XA5032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XA5032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XA5032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镗床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TPX6513X2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TPX6513X2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TPX6513X2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刨床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BY60/100C</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BY60/100C</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滚齿机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Y3150E</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Y3150E</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Y3150E</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插床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B5032</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B5032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轴类零件自动化生产线</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送料机：SL65-1200</w:t>
            </w:r>
          </w:p>
          <w:p>
            <w:pPr>
              <w:pStyle w:val="7"/>
              <w:spacing w:line="240" w:lineRule="auto"/>
              <w:ind w:firstLine="0" w:firstLineChars="0"/>
              <w:jc w:val="center"/>
              <w:rPr>
                <w:sz w:val="21"/>
                <w:szCs w:val="21"/>
              </w:rPr>
            </w:pPr>
            <w:r>
              <w:rPr>
                <w:sz w:val="21"/>
                <w:szCs w:val="21"/>
              </w:rPr>
              <w:t>主机：CPL-3510</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送料机：SL65-1200</w:t>
            </w:r>
          </w:p>
          <w:p>
            <w:pPr>
              <w:pStyle w:val="7"/>
              <w:spacing w:line="240" w:lineRule="auto"/>
              <w:ind w:firstLine="0" w:firstLineChars="0"/>
              <w:jc w:val="center"/>
              <w:rPr>
                <w:sz w:val="21"/>
                <w:szCs w:val="21"/>
              </w:rPr>
            </w:pPr>
            <w:r>
              <w:rPr>
                <w:sz w:val="21"/>
                <w:szCs w:val="21"/>
              </w:rPr>
              <w:t>主机：CPL-3510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20</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14</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50</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YM-500KR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5</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YM-500KR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YM-500KR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埋弧焊机（平焊）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埋弧焊机（角焊）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(L)-630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(L)-630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(L)-630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埋弧焊机（角焊）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ZX5-630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ZX5-630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ZX5-630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37</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激光切割机</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数控切割机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精细等离子数控切割机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EC60</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EC60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焊接机器人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TA-1400</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TA-1400</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双梁双枪龙门焊</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非标</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非标</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42</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单机焊烟净化器</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100</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43</w:t>
            </w:r>
          </w:p>
        </w:tc>
        <w:tc>
          <w:tcPr>
            <w:tcW w:w="1631"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eastAsia="zh-CN"/>
              </w:rPr>
              <w:t>固定式焊烟净化系统</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15</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44</w:t>
            </w:r>
          </w:p>
        </w:tc>
        <w:tc>
          <w:tcPr>
            <w:tcW w:w="1631"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eastAsia="zh-CN"/>
              </w:rPr>
              <w:t>单梁涂装</w:t>
            </w:r>
            <w:r>
              <w:rPr>
                <w:sz w:val="21"/>
                <w:szCs w:val="21"/>
              </w:rPr>
              <w:t>房</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w:t>
            </w:r>
          </w:p>
        </w:tc>
        <w:tc>
          <w:tcPr>
            <w:tcW w:w="52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45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喷涂机</w:t>
            </w:r>
          </w:p>
        </w:tc>
        <w:tc>
          <w:tcPr>
            <w:tcW w:w="1596"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JPT4532</w:t>
            </w:r>
          </w:p>
        </w:tc>
        <w:tc>
          <w:tcPr>
            <w:tcW w:w="600"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JPT4532</w:t>
            </w:r>
          </w:p>
        </w:tc>
        <w:tc>
          <w:tcPr>
            <w:tcW w:w="524"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46</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端梁涂装房</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47</w:t>
            </w:r>
          </w:p>
        </w:tc>
        <w:tc>
          <w:tcPr>
            <w:tcW w:w="1631" w:type="dxa"/>
            <w:tcBorders>
              <w:tl2br w:val="nil"/>
              <w:tr2bl w:val="nil"/>
            </w:tcBorders>
            <w:vAlign w:val="center"/>
          </w:tcPr>
          <w:p>
            <w:pPr>
              <w:pStyle w:val="7"/>
              <w:spacing w:line="240" w:lineRule="auto"/>
              <w:ind w:firstLine="0" w:firstLineChars="0"/>
              <w:jc w:val="center"/>
              <w:rPr>
                <w:rFonts w:hint="eastAsia"/>
                <w:sz w:val="21"/>
                <w:szCs w:val="21"/>
                <w:lang w:eastAsia="zh-CN"/>
              </w:rPr>
            </w:pPr>
            <w:r>
              <w:rPr>
                <w:rFonts w:hint="eastAsia"/>
                <w:sz w:val="21"/>
                <w:szCs w:val="21"/>
                <w:lang w:eastAsia="zh-CN"/>
              </w:rPr>
              <w:t>催化燃烧装置</w:t>
            </w:r>
          </w:p>
        </w:tc>
        <w:tc>
          <w:tcPr>
            <w:tcW w:w="1596"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w:t>
            </w:r>
          </w:p>
        </w:tc>
        <w:tc>
          <w:tcPr>
            <w:tcW w:w="2086"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6" w:type="dxa"/>
            <w:gridSpan w:val="8"/>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双梁车间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QD20/10t-25.5m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QD20/10t-25.5m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QD20/10t-25.5m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QD20/10t-28.5m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QD20/10t-28.5m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QD20/10t-28.5m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QD32/10t-28.5m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QD32/10t-28.5m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QD32/10t-25.5m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QD32/10t-25.5m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桥式双梁起重机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QD32/5t-25.5m</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c>
          <w:tcPr>
            <w:tcW w:w="1784"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QD32/5t-25.5m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sz w:val="21"/>
                <w:szCs w:val="21"/>
              </w:rPr>
              <w:t>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通用门式起重机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MDG20/10T-30M</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MDG20/10T-30M</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MDG20/10T-30M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LDA2t-19.5m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LDA2.95t-19.5m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LDA2.95t-19.5m</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LDA2.95t-19.5m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LDP5t19.5m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LDP5t19.5m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LDA2.95T-18.5m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LDA2.95T-18.5m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HD3T-22.5M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HD3T-22.5M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LH5T-9.9M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LH5T-9.9M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L</w:t>
            </w:r>
            <w:r>
              <w:rPr>
                <w:rFonts w:hint="eastAsia"/>
                <w:sz w:val="21"/>
                <w:szCs w:val="21"/>
              </w:rPr>
              <w:t>D</w:t>
            </w:r>
            <w:r>
              <w:rPr>
                <w:rFonts w:hint="eastAsia"/>
                <w:sz w:val="21"/>
                <w:szCs w:val="21"/>
                <w:vertAlign w:val="subscript"/>
              </w:rPr>
              <w:t>5</w:t>
            </w:r>
            <w:r>
              <w:rPr>
                <w:sz w:val="21"/>
                <w:szCs w:val="21"/>
              </w:rPr>
              <w:t>t-18.5m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L</w:t>
            </w:r>
            <w:r>
              <w:rPr>
                <w:rFonts w:hint="eastAsia"/>
                <w:sz w:val="21"/>
                <w:szCs w:val="21"/>
              </w:rPr>
              <w:t>D</w:t>
            </w:r>
            <w:r>
              <w:rPr>
                <w:rFonts w:hint="eastAsia"/>
                <w:sz w:val="21"/>
                <w:szCs w:val="21"/>
                <w:vertAlign w:val="subscript"/>
              </w:rPr>
              <w:t>5</w:t>
            </w:r>
            <w:r>
              <w:rPr>
                <w:sz w:val="21"/>
                <w:szCs w:val="21"/>
              </w:rPr>
              <w:t>t-18.5m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15</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t-22.5m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1</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w:t>
            </w:r>
            <w:r>
              <w:rPr>
                <w:rFonts w:hint="eastAsia"/>
                <w:sz w:val="21"/>
                <w:szCs w:val="21"/>
              </w:rPr>
              <w:t>D</w:t>
            </w:r>
            <w:r>
              <w:rPr>
                <w:rFonts w:hint="eastAsia"/>
                <w:sz w:val="21"/>
                <w:szCs w:val="21"/>
                <w:vertAlign w:val="subscript"/>
              </w:rPr>
              <w:t>5</w:t>
            </w:r>
            <w:r>
              <w:rPr>
                <w:sz w:val="21"/>
                <w:szCs w:val="21"/>
              </w:rPr>
              <w:t>t-22.5m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16</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电动单梁起重机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HD3t-19.5m</w:t>
            </w:r>
          </w:p>
        </w:tc>
        <w:tc>
          <w:tcPr>
            <w:tcW w:w="573" w:type="dxa"/>
            <w:tcBorders>
              <w:tl2br w:val="nil"/>
              <w:tr2bl w:val="nil"/>
            </w:tcBorders>
            <w:vAlign w:val="center"/>
          </w:tcPr>
          <w:p>
            <w:pPr>
              <w:pStyle w:val="7"/>
              <w:spacing w:line="240" w:lineRule="auto"/>
              <w:ind w:firstLine="0" w:firstLineChars="0"/>
              <w:jc w:val="center"/>
              <w:rPr>
                <w:rFonts w:hint="eastAsia"/>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HD3t-19.5m</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r>
              <w:rPr>
                <w:sz w:val="21"/>
                <w:szCs w:val="21"/>
              </w:rPr>
              <w:t>7</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BX3-500-2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r>
              <w:rPr>
                <w:sz w:val="21"/>
                <w:szCs w:val="21"/>
              </w:rPr>
              <w:t>8</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交流弧焊机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BX3-630-2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1</w:t>
            </w:r>
            <w:r>
              <w:rPr>
                <w:sz w:val="21"/>
                <w:szCs w:val="21"/>
              </w:rPr>
              <w:t>9</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36</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2</w:t>
            </w:r>
            <w:r>
              <w:rPr>
                <w:sz w:val="21"/>
                <w:szCs w:val="21"/>
              </w:rPr>
              <w:t>0</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8</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2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21</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埋弧焊机（平焊）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3</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Z</w:t>
            </w:r>
            <w:r>
              <w:rPr>
                <w:rFonts w:hint="eastAsia"/>
                <w:sz w:val="21"/>
                <w:szCs w:val="21"/>
              </w:rPr>
              <w:t>D</w:t>
            </w:r>
            <w:r>
              <w:rPr>
                <w:rFonts w:hint="eastAsia"/>
                <w:sz w:val="21"/>
                <w:szCs w:val="21"/>
                <w:vertAlign w:val="subscript"/>
              </w:rPr>
              <w:t>5</w:t>
            </w:r>
            <w:r>
              <w:rPr>
                <w:sz w:val="21"/>
                <w:szCs w:val="21"/>
              </w:rPr>
              <w:t>（D）-1000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val="en-US" w:eastAsia="zh-CN"/>
              </w:rPr>
              <w:t>2</w:t>
            </w:r>
            <w:r>
              <w:rPr>
                <w:sz w:val="21"/>
                <w:szCs w:val="21"/>
              </w:rPr>
              <w:t>2</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双梁双枪龙门焊</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1</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非标</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23</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二保焊机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7</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4</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YD-500KR</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C</w:t>
            </w:r>
            <w:r>
              <w:rPr>
                <w:rFonts w:hint="eastAsia"/>
                <w:sz w:val="21"/>
                <w:szCs w:val="21"/>
              </w:rPr>
              <w:t>O</w:t>
            </w:r>
            <w:r>
              <w:rPr>
                <w:rFonts w:hint="eastAsia"/>
                <w:sz w:val="21"/>
                <w:szCs w:val="21"/>
                <w:vertAlign w:val="subscript"/>
              </w:rPr>
              <w:t>2</w:t>
            </w:r>
            <w:r>
              <w:rPr>
                <w:sz w:val="21"/>
                <w:szCs w:val="21"/>
              </w:rPr>
              <w:t>气体保护焊机</w:t>
            </w:r>
          </w:p>
        </w:tc>
        <w:tc>
          <w:tcPr>
            <w:tcW w:w="159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73"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KRⅡ500</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25</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数控切割机</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1784"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26</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精细等离子数控切割机</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5</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27</w:t>
            </w:r>
          </w:p>
        </w:tc>
        <w:tc>
          <w:tcPr>
            <w:tcW w:w="1631" w:type="dxa"/>
            <w:tcBorders>
              <w:tl2br w:val="nil"/>
              <w:tr2bl w:val="nil"/>
            </w:tcBorders>
            <w:vAlign w:val="center"/>
          </w:tcPr>
          <w:p>
            <w:pPr>
              <w:pStyle w:val="7"/>
              <w:spacing w:line="240" w:lineRule="auto"/>
              <w:ind w:firstLine="0" w:firstLineChars="0"/>
              <w:jc w:val="center"/>
              <w:rPr>
                <w:rFonts w:hint="eastAsia"/>
                <w:sz w:val="21"/>
                <w:szCs w:val="21"/>
                <w:lang w:eastAsia="zh-CN"/>
              </w:rPr>
            </w:pPr>
            <w:r>
              <w:rPr>
                <w:sz w:val="21"/>
                <w:szCs w:val="21"/>
              </w:rPr>
              <w:t>抛丸机</w:t>
            </w:r>
          </w:p>
        </w:tc>
        <w:tc>
          <w:tcPr>
            <w:tcW w:w="1596"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HP1218-8H</w:t>
            </w:r>
          </w:p>
        </w:tc>
        <w:tc>
          <w:tcPr>
            <w:tcW w:w="600"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1</w:t>
            </w:r>
          </w:p>
        </w:tc>
        <w:tc>
          <w:tcPr>
            <w:tcW w:w="2086"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HP1218-8H</w:t>
            </w:r>
          </w:p>
        </w:tc>
        <w:tc>
          <w:tcPr>
            <w:tcW w:w="524" w:type="dxa"/>
            <w:tcBorders>
              <w:tl2br w:val="nil"/>
              <w:tr2bl w:val="nil"/>
            </w:tcBorders>
            <w:vAlign w:val="center"/>
          </w:tcPr>
          <w:p>
            <w:pPr>
              <w:pStyle w:val="7"/>
              <w:spacing w:line="240" w:lineRule="auto"/>
              <w:ind w:firstLine="0" w:firstLineChars="0"/>
              <w:jc w:val="center"/>
              <w:rPr>
                <w:rFonts w:hint="eastAsia"/>
                <w:sz w:val="21"/>
                <w:szCs w:val="21"/>
                <w:lang w:val="en-US" w:eastAsia="zh-CN"/>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28</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单机焊烟净化器</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29</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固定式焊烟净化系统</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8</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抛丸、下料除尘器</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6</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31</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预处理滚涂线</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32</w:t>
            </w:r>
          </w:p>
        </w:tc>
        <w:tc>
          <w:tcPr>
            <w:tcW w:w="1631"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lang w:eastAsia="zh-CN"/>
              </w:rPr>
              <w:t>双梁车间涂装</w:t>
            </w:r>
            <w:r>
              <w:rPr>
                <w:sz w:val="21"/>
                <w:szCs w:val="21"/>
              </w:rPr>
              <w:t>房</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33</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小件涂装房</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default"/>
                <w:sz w:val="21"/>
                <w:szCs w:val="21"/>
                <w:lang w:val="en-US" w:eastAsia="zh-CN"/>
              </w:rPr>
            </w:pPr>
            <w:r>
              <w:rPr>
                <w:rFonts w:hint="eastAsia"/>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34</w:t>
            </w:r>
          </w:p>
        </w:tc>
        <w:tc>
          <w:tcPr>
            <w:tcW w:w="1631" w:type="dxa"/>
            <w:tcBorders>
              <w:tl2br w:val="nil"/>
              <w:tr2bl w:val="nil"/>
            </w:tcBorders>
            <w:vAlign w:val="center"/>
          </w:tcPr>
          <w:p>
            <w:pPr>
              <w:pStyle w:val="7"/>
              <w:spacing w:line="240" w:lineRule="auto"/>
              <w:ind w:firstLine="0" w:firstLineChars="0"/>
              <w:jc w:val="center"/>
              <w:rPr>
                <w:sz w:val="21"/>
                <w:szCs w:val="21"/>
              </w:rPr>
            </w:pPr>
            <w:r>
              <w:rPr>
                <w:sz w:val="21"/>
                <w:szCs w:val="21"/>
              </w:rPr>
              <w:t>喷涂机</w:t>
            </w:r>
          </w:p>
        </w:tc>
        <w:tc>
          <w:tcPr>
            <w:tcW w:w="1596"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573" w:type="dxa"/>
            <w:tcBorders>
              <w:tl2br w:val="nil"/>
              <w:tr2bl w:val="nil"/>
            </w:tcBorders>
            <w:vAlign w:val="center"/>
          </w:tcPr>
          <w:p>
            <w:pPr>
              <w:pStyle w:val="7"/>
              <w:spacing w:line="240" w:lineRule="auto"/>
              <w:ind w:firstLine="0" w:firstLineChars="0"/>
              <w:jc w:val="center"/>
              <w:rPr>
                <w:sz w:val="21"/>
                <w:szCs w:val="21"/>
              </w:rPr>
            </w:pPr>
            <w:r>
              <w:rPr>
                <w:rFonts w:hint="eastAsia"/>
                <w:sz w:val="21"/>
                <w:szCs w:val="21"/>
              </w:rPr>
              <w:t>/</w:t>
            </w:r>
          </w:p>
        </w:tc>
        <w:tc>
          <w:tcPr>
            <w:tcW w:w="1784" w:type="dxa"/>
            <w:tcBorders>
              <w:tl2br w:val="nil"/>
              <w:tr2bl w:val="nil"/>
            </w:tcBorders>
            <w:vAlign w:val="center"/>
          </w:tcPr>
          <w:p>
            <w:pPr>
              <w:pStyle w:val="7"/>
              <w:spacing w:line="240" w:lineRule="auto"/>
              <w:ind w:firstLine="0" w:firstLineChars="0"/>
              <w:jc w:val="center"/>
              <w:rPr>
                <w:sz w:val="21"/>
                <w:szCs w:val="21"/>
              </w:rPr>
            </w:pPr>
            <w:r>
              <w:rPr>
                <w:sz w:val="21"/>
                <w:szCs w:val="21"/>
              </w:rPr>
              <w:t>JPT4532</w:t>
            </w:r>
          </w:p>
        </w:tc>
        <w:tc>
          <w:tcPr>
            <w:tcW w:w="600"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c>
          <w:tcPr>
            <w:tcW w:w="2086" w:type="dxa"/>
            <w:tcBorders>
              <w:tl2br w:val="nil"/>
              <w:tr2bl w:val="nil"/>
            </w:tcBorders>
            <w:vAlign w:val="center"/>
          </w:tcPr>
          <w:p>
            <w:pPr>
              <w:pStyle w:val="7"/>
              <w:spacing w:line="240" w:lineRule="auto"/>
              <w:ind w:firstLine="0" w:firstLineChars="0"/>
              <w:jc w:val="center"/>
              <w:rPr>
                <w:sz w:val="21"/>
                <w:szCs w:val="21"/>
              </w:rPr>
            </w:pPr>
            <w:r>
              <w:rPr>
                <w:sz w:val="21"/>
                <w:szCs w:val="21"/>
              </w:rPr>
              <w:t>JPT4532</w:t>
            </w:r>
          </w:p>
        </w:tc>
        <w:tc>
          <w:tcPr>
            <w:tcW w:w="524" w:type="dxa"/>
            <w:tcBorders>
              <w:tl2br w:val="nil"/>
              <w:tr2bl w:val="nil"/>
            </w:tcBorders>
            <w:vAlign w:val="center"/>
          </w:tcPr>
          <w:p>
            <w:pPr>
              <w:pStyle w:val="7"/>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2" w:type="dxa"/>
            <w:tcBorders>
              <w:tl2br w:val="nil"/>
              <w:tr2bl w:val="nil"/>
            </w:tcBorders>
            <w:vAlign w:val="center"/>
          </w:tcPr>
          <w:p>
            <w:pPr>
              <w:pStyle w:val="7"/>
              <w:spacing w:line="240" w:lineRule="auto"/>
              <w:ind w:firstLine="0" w:firstLineChars="0"/>
              <w:jc w:val="center"/>
              <w:rPr>
                <w:rFonts w:hint="default" w:eastAsia="宋体"/>
                <w:sz w:val="21"/>
                <w:szCs w:val="21"/>
                <w:lang w:val="en-US" w:eastAsia="zh-CN"/>
              </w:rPr>
            </w:pPr>
            <w:r>
              <w:rPr>
                <w:rFonts w:hint="eastAsia"/>
                <w:sz w:val="21"/>
                <w:szCs w:val="21"/>
                <w:lang w:val="en-US" w:eastAsia="zh-CN"/>
              </w:rPr>
              <w:t>35</w:t>
            </w:r>
          </w:p>
        </w:tc>
        <w:tc>
          <w:tcPr>
            <w:tcW w:w="1631" w:type="dxa"/>
            <w:tcBorders>
              <w:tl2br w:val="nil"/>
              <w:tr2bl w:val="nil"/>
            </w:tcBorders>
            <w:vAlign w:val="center"/>
          </w:tcPr>
          <w:p>
            <w:pPr>
              <w:pStyle w:val="7"/>
              <w:spacing w:line="240" w:lineRule="auto"/>
              <w:ind w:firstLine="0" w:firstLineChars="0"/>
              <w:jc w:val="center"/>
              <w:rPr>
                <w:rFonts w:hint="eastAsia" w:eastAsia="宋体"/>
                <w:sz w:val="21"/>
                <w:szCs w:val="21"/>
                <w:lang w:eastAsia="zh-CN"/>
              </w:rPr>
            </w:pPr>
            <w:r>
              <w:rPr>
                <w:rFonts w:hint="eastAsia"/>
                <w:sz w:val="21"/>
                <w:szCs w:val="21"/>
                <w:lang w:eastAsia="zh-CN"/>
              </w:rPr>
              <w:t>催化燃烧装置</w:t>
            </w:r>
          </w:p>
        </w:tc>
        <w:tc>
          <w:tcPr>
            <w:tcW w:w="159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73"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178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600"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c>
          <w:tcPr>
            <w:tcW w:w="2086"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24" w:type="dxa"/>
            <w:tcBorders>
              <w:tl2br w:val="nil"/>
              <w:tr2bl w:val="nil"/>
            </w:tcBorders>
            <w:vAlign w:val="center"/>
          </w:tcPr>
          <w:p>
            <w:pPr>
              <w:pStyle w:val="7"/>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r>
    </w:tbl>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r>
        <w:rPr>
          <w:rFonts w:cs="Times New Roman"/>
        </w:rPr>
        <w:t>3.3 主要原辅材料及燃料</w:t>
      </w:r>
      <w:bookmarkEnd w:id="100"/>
      <w:bookmarkEnd w:id="101"/>
      <w:bookmarkEnd w:id="102"/>
      <w:bookmarkEnd w:id="103"/>
      <w:bookmarkEnd w:id="104"/>
      <w:bookmarkEnd w:id="105"/>
      <w:bookmarkEnd w:id="106"/>
      <w:bookmarkEnd w:id="107"/>
      <w:bookmarkEnd w:id="108"/>
      <w:bookmarkEnd w:id="109"/>
      <w:bookmarkEnd w:id="110"/>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color w:val="FF0000"/>
        </w:rPr>
      </w:pPr>
      <w:bookmarkStart w:id="111" w:name="_Toc31544"/>
      <w:bookmarkStart w:id="112" w:name="_Toc24060"/>
      <w:bookmarkStart w:id="113" w:name="_Toc31216"/>
      <w:bookmarkStart w:id="114" w:name="_Toc12719"/>
      <w:bookmarkStart w:id="115" w:name="_Toc19184"/>
      <w:bookmarkStart w:id="116" w:name="_Toc17857"/>
      <w:bookmarkStart w:id="117" w:name="_Toc2356"/>
      <w:r>
        <w:rPr>
          <w:rFonts w:cs="Times New Roman"/>
        </w:rPr>
        <w:t>本工程主要原辅材料及能源消耗情况见下表。</w:t>
      </w:r>
      <w:bookmarkEnd w:id="111"/>
      <w:bookmarkEnd w:id="112"/>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r>
        <w:rPr>
          <w:rFonts w:cs="Times New Roman"/>
          <w:b/>
          <w:bCs/>
          <w:sz w:val="24"/>
          <w:szCs w:val="24"/>
        </w:rPr>
        <w:t>表3-</w:t>
      </w:r>
      <w:r>
        <w:rPr>
          <w:rFonts w:hint="eastAsia" w:cs="Times New Roman"/>
          <w:b/>
          <w:bCs/>
          <w:sz w:val="24"/>
          <w:szCs w:val="24"/>
          <w:lang w:val="en-US" w:eastAsia="zh-CN"/>
        </w:rPr>
        <w:t>5</w:t>
      </w:r>
      <w:r>
        <w:rPr>
          <w:rFonts w:cs="Times New Roman"/>
          <w:b/>
          <w:bCs/>
          <w:sz w:val="24"/>
          <w:szCs w:val="24"/>
        </w:rPr>
        <w:t xml:space="preserve">  原辅材料情况一览表</w:t>
      </w:r>
    </w:p>
    <w:tbl>
      <w:tblPr>
        <w:tblStyle w:val="21"/>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1"/>
        <w:gridCol w:w="2303"/>
        <w:gridCol w:w="2025"/>
        <w:gridCol w:w="1810"/>
        <w:gridCol w:w="1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175" w:firstLineChars="83"/>
              <w:rPr>
                <w:b/>
                <w:bCs w:val="0"/>
                <w:color w:val="auto"/>
                <w:sz w:val="21"/>
                <w:szCs w:val="21"/>
              </w:rPr>
            </w:pPr>
            <w:bookmarkStart w:id="118" w:name="_Toc8920"/>
            <w:bookmarkStart w:id="119" w:name="_Toc16236"/>
            <w:bookmarkStart w:id="120" w:name="_Toc22429"/>
            <w:bookmarkStart w:id="121" w:name="_Toc12844"/>
            <w:bookmarkStart w:id="122" w:name="_Toc19502"/>
            <w:bookmarkStart w:id="123" w:name="_Toc8542"/>
            <w:bookmarkStart w:id="124" w:name="_Toc22750"/>
            <w:bookmarkStart w:id="125" w:name="_Toc28684"/>
            <w:bookmarkStart w:id="126" w:name="_Toc8823"/>
            <w:bookmarkStart w:id="127" w:name="_Toc27926"/>
            <w:bookmarkStart w:id="128" w:name="_Toc31938"/>
            <w:r>
              <w:rPr>
                <w:rFonts w:hint="eastAsia"/>
                <w:b/>
                <w:bCs w:val="0"/>
                <w:color w:val="auto"/>
                <w:sz w:val="21"/>
                <w:szCs w:val="21"/>
              </w:rPr>
              <w:t>序号</w:t>
            </w:r>
          </w:p>
        </w:tc>
        <w:tc>
          <w:tcPr>
            <w:tcW w:w="2303" w:type="dxa"/>
            <w:tcBorders>
              <w:tl2br w:val="nil"/>
              <w:tr2bl w:val="nil"/>
            </w:tcBorders>
            <w:vAlign w:val="center"/>
          </w:tcPr>
          <w:p>
            <w:pPr>
              <w:pStyle w:val="43"/>
              <w:spacing w:line="240" w:lineRule="auto"/>
              <w:ind w:firstLine="0" w:firstLineChars="0"/>
              <w:jc w:val="center"/>
              <w:rPr>
                <w:b/>
                <w:bCs w:val="0"/>
                <w:color w:val="auto"/>
                <w:sz w:val="21"/>
                <w:szCs w:val="21"/>
              </w:rPr>
            </w:pPr>
            <w:r>
              <w:rPr>
                <w:rFonts w:hint="eastAsia"/>
                <w:b/>
                <w:bCs w:val="0"/>
                <w:color w:val="auto"/>
                <w:sz w:val="21"/>
                <w:szCs w:val="21"/>
              </w:rPr>
              <w:t>原材料</w:t>
            </w:r>
          </w:p>
        </w:tc>
        <w:tc>
          <w:tcPr>
            <w:tcW w:w="2025" w:type="dxa"/>
            <w:tcBorders>
              <w:tl2br w:val="nil"/>
              <w:tr2bl w:val="nil"/>
            </w:tcBorders>
            <w:vAlign w:val="center"/>
          </w:tcPr>
          <w:p>
            <w:pPr>
              <w:pStyle w:val="43"/>
              <w:spacing w:line="240" w:lineRule="auto"/>
              <w:ind w:firstLine="0" w:firstLineChars="0"/>
              <w:jc w:val="center"/>
              <w:rPr>
                <w:b/>
                <w:bCs w:val="0"/>
                <w:color w:val="auto"/>
                <w:sz w:val="21"/>
                <w:szCs w:val="21"/>
              </w:rPr>
            </w:pPr>
            <w:r>
              <w:rPr>
                <w:rFonts w:hint="eastAsia"/>
                <w:b/>
                <w:bCs w:val="0"/>
                <w:color w:val="auto"/>
                <w:sz w:val="21"/>
                <w:szCs w:val="21"/>
                <w:lang w:val="en-US" w:eastAsia="zh-CN"/>
              </w:rPr>
              <w:t>环评设计</w:t>
            </w:r>
            <w:r>
              <w:rPr>
                <w:rFonts w:hint="eastAsia"/>
                <w:b/>
                <w:bCs w:val="0"/>
                <w:color w:val="auto"/>
                <w:sz w:val="21"/>
                <w:szCs w:val="21"/>
              </w:rPr>
              <w:t>消耗量</w:t>
            </w:r>
          </w:p>
        </w:tc>
        <w:tc>
          <w:tcPr>
            <w:tcW w:w="1810" w:type="dxa"/>
            <w:tcBorders>
              <w:tl2br w:val="nil"/>
              <w:tr2bl w:val="nil"/>
            </w:tcBorders>
            <w:vAlign w:val="center"/>
          </w:tcPr>
          <w:p>
            <w:pPr>
              <w:pStyle w:val="43"/>
              <w:spacing w:line="240" w:lineRule="auto"/>
              <w:ind w:firstLine="0" w:firstLineChars="0"/>
              <w:jc w:val="center"/>
              <w:rPr>
                <w:rFonts w:hint="eastAsia" w:eastAsia="宋体"/>
                <w:b/>
                <w:bCs w:val="0"/>
                <w:color w:val="auto"/>
                <w:sz w:val="21"/>
                <w:szCs w:val="21"/>
                <w:lang w:eastAsia="zh-CN"/>
              </w:rPr>
            </w:pPr>
            <w:r>
              <w:rPr>
                <w:rFonts w:hint="eastAsia"/>
                <w:b/>
                <w:bCs w:val="0"/>
                <w:color w:val="auto"/>
                <w:sz w:val="21"/>
                <w:szCs w:val="21"/>
                <w:lang w:val="en-US" w:eastAsia="zh-CN"/>
              </w:rPr>
              <w:t>实际生产消耗量</w:t>
            </w:r>
          </w:p>
        </w:tc>
        <w:tc>
          <w:tcPr>
            <w:tcW w:w="1493" w:type="dxa"/>
            <w:tcBorders>
              <w:tl2br w:val="nil"/>
              <w:tr2bl w:val="nil"/>
            </w:tcBorders>
            <w:vAlign w:val="center"/>
          </w:tcPr>
          <w:p>
            <w:pPr>
              <w:pStyle w:val="43"/>
              <w:spacing w:line="240" w:lineRule="auto"/>
              <w:ind w:firstLine="0" w:firstLineChars="0"/>
              <w:jc w:val="center"/>
              <w:rPr>
                <w:rFonts w:hint="default"/>
                <w:b/>
                <w:bCs w:val="0"/>
                <w:color w:val="auto"/>
                <w:sz w:val="21"/>
                <w:szCs w:val="21"/>
                <w:lang w:val="en-US" w:eastAsia="zh-CN"/>
              </w:rPr>
            </w:pPr>
            <w:r>
              <w:rPr>
                <w:rFonts w:hint="eastAsia"/>
                <w:b/>
                <w:bCs w:val="0"/>
                <w:color w:val="auto"/>
                <w:sz w:val="21"/>
                <w:szCs w:val="21"/>
                <w:lang w:val="en-US" w:eastAsia="zh-CN"/>
              </w:rPr>
              <w:t>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铸件（车轮组）</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6404件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color w:val="auto"/>
              </w:rPr>
              <w:t>6404件</w:t>
            </w:r>
          </w:p>
        </w:tc>
        <w:tc>
          <w:tcPr>
            <w:tcW w:w="1493" w:type="dxa"/>
            <w:tcBorders>
              <w:tl2br w:val="nil"/>
              <w:tr2bl w:val="nil"/>
            </w:tcBorders>
            <w:vAlign w:val="center"/>
          </w:tcPr>
          <w:p>
            <w:pPr>
              <w:pStyle w:val="62"/>
              <w:ind w:firstLine="0" w:firstLineChars="0"/>
              <w:rPr>
                <w:rFonts w:hint="default"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2</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传动部分（减速机）</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5500件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rFonts w:hint="eastAsia" w:eastAsia="宋体"/>
                <w:color w:val="auto"/>
                <w:sz w:val="21"/>
                <w:szCs w:val="21"/>
                <w:lang w:val="en-US" w:eastAsia="zh-CN"/>
              </w:rPr>
              <w:t>/</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3</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动力部分（电机）</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43062件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rFonts w:hint="eastAsia" w:eastAsia="宋体"/>
                <w:color w:val="auto"/>
                <w:sz w:val="21"/>
                <w:szCs w:val="21"/>
                <w:lang w:val="en-US" w:eastAsia="zh-CN"/>
              </w:rPr>
              <w:t>/</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减少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4</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吊装部分配置（吊钩）</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13692件</w:t>
            </w:r>
          </w:p>
        </w:tc>
        <w:tc>
          <w:tcPr>
            <w:tcW w:w="1810" w:type="dxa"/>
            <w:tcBorders>
              <w:tl2br w:val="nil"/>
              <w:tr2bl w:val="nil"/>
            </w:tcBorders>
            <w:vAlign w:val="center"/>
          </w:tcPr>
          <w:p>
            <w:pPr>
              <w:pStyle w:val="62"/>
              <w:ind w:firstLine="0" w:firstLineChars="0"/>
              <w:rPr>
                <w:rFonts w:hint="default" w:eastAsia="宋体"/>
                <w:color w:val="auto"/>
                <w:sz w:val="21"/>
                <w:szCs w:val="21"/>
                <w:lang w:val="en-US" w:eastAsia="zh-CN"/>
              </w:rPr>
            </w:pPr>
            <w:r>
              <w:rPr>
                <w:color w:val="auto"/>
              </w:rPr>
              <w:t>13692件</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5</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工字钢</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9579吨</w:t>
            </w:r>
          </w:p>
        </w:tc>
        <w:tc>
          <w:tcPr>
            <w:tcW w:w="1810" w:type="dxa"/>
            <w:tcBorders>
              <w:tl2br w:val="nil"/>
              <w:tr2bl w:val="nil"/>
            </w:tcBorders>
            <w:vAlign w:val="center"/>
          </w:tcPr>
          <w:p>
            <w:pPr>
              <w:pStyle w:val="62"/>
              <w:ind w:firstLine="0" w:firstLineChars="0"/>
              <w:rPr>
                <w:color w:val="auto"/>
                <w:sz w:val="21"/>
                <w:szCs w:val="21"/>
              </w:rPr>
            </w:pPr>
            <w:r>
              <w:rPr>
                <w:color w:val="auto"/>
              </w:rPr>
              <w:t>9579吨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6</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不锈钢板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9吨</w:t>
            </w:r>
          </w:p>
        </w:tc>
        <w:tc>
          <w:tcPr>
            <w:tcW w:w="1810" w:type="dxa"/>
            <w:tcBorders>
              <w:tl2br w:val="nil"/>
              <w:tr2bl w:val="nil"/>
            </w:tcBorders>
            <w:vAlign w:val="center"/>
          </w:tcPr>
          <w:p>
            <w:pPr>
              <w:pStyle w:val="62"/>
              <w:ind w:firstLine="0" w:firstLineChars="0"/>
              <w:rPr>
                <w:color w:val="auto"/>
                <w:sz w:val="21"/>
                <w:szCs w:val="21"/>
              </w:rPr>
            </w:pPr>
            <w:r>
              <w:rPr>
                <w:color w:val="auto"/>
              </w:rPr>
              <w:t>9吨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7</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角钢</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2777吨</w:t>
            </w:r>
          </w:p>
        </w:tc>
        <w:tc>
          <w:tcPr>
            <w:tcW w:w="1810" w:type="dxa"/>
            <w:tcBorders>
              <w:tl2br w:val="nil"/>
              <w:tr2bl w:val="nil"/>
            </w:tcBorders>
            <w:vAlign w:val="center"/>
          </w:tcPr>
          <w:p>
            <w:pPr>
              <w:pStyle w:val="62"/>
              <w:ind w:firstLine="0" w:firstLineChars="0"/>
              <w:rPr>
                <w:color w:val="auto"/>
                <w:sz w:val="21"/>
                <w:szCs w:val="21"/>
              </w:rPr>
            </w:pPr>
            <w:r>
              <w:rPr>
                <w:color w:val="auto"/>
              </w:rPr>
              <w:t>2777吨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8</w:t>
            </w:r>
          </w:p>
        </w:tc>
        <w:tc>
          <w:tcPr>
            <w:tcW w:w="2303" w:type="dxa"/>
            <w:tcBorders>
              <w:tl2br w:val="nil"/>
              <w:tr2bl w:val="nil"/>
            </w:tcBorders>
            <w:vAlign w:val="center"/>
          </w:tcPr>
          <w:p>
            <w:pPr>
              <w:pStyle w:val="62"/>
              <w:ind w:firstLine="0" w:firstLineChars="0"/>
              <w:rPr>
                <w:b w:val="0"/>
                <w:bCs w:val="0"/>
                <w:color w:val="auto"/>
                <w:sz w:val="21"/>
                <w:szCs w:val="21"/>
                <w:u w:val="none"/>
              </w:rPr>
            </w:pPr>
            <w:r>
              <w:rPr>
                <w:color w:val="auto"/>
              </w:rPr>
              <w:t>矩形管</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1138吨</w:t>
            </w:r>
          </w:p>
        </w:tc>
        <w:tc>
          <w:tcPr>
            <w:tcW w:w="1810" w:type="dxa"/>
            <w:tcBorders>
              <w:tl2br w:val="nil"/>
              <w:tr2bl w:val="nil"/>
            </w:tcBorders>
            <w:vAlign w:val="center"/>
          </w:tcPr>
          <w:p>
            <w:pPr>
              <w:pStyle w:val="62"/>
              <w:ind w:firstLine="0" w:firstLineChars="0"/>
              <w:rPr>
                <w:color w:val="auto"/>
                <w:sz w:val="21"/>
                <w:szCs w:val="21"/>
              </w:rPr>
            </w:pPr>
            <w:r>
              <w:rPr>
                <w:color w:val="auto"/>
              </w:rPr>
              <w:t>1138吨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9</w:t>
            </w:r>
          </w:p>
        </w:tc>
        <w:tc>
          <w:tcPr>
            <w:tcW w:w="2303" w:type="dxa"/>
            <w:tcBorders>
              <w:tl2br w:val="nil"/>
              <w:tr2bl w:val="nil"/>
            </w:tcBorders>
            <w:vAlign w:val="center"/>
          </w:tcPr>
          <w:p>
            <w:pPr>
              <w:pStyle w:val="62"/>
              <w:ind w:firstLine="0" w:firstLineChars="0"/>
              <w:rPr>
                <w:b w:val="0"/>
                <w:bCs w:val="0"/>
                <w:color w:val="auto"/>
                <w:szCs w:val="21"/>
                <w:u w:val="none"/>
              </w:rPr>
            </w:pPr>
            <w:r>
              <w:rPr>
                <w:color w:val="auto"/>
              </w:rPr>
              <w:t>圆钢</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1168吨</w:t>
            </w:r>
          </w:p>
        </w:tc>
        <w:tc>
          <w:tcPr>
            <w:tcW w:w="1810" w:type="dxa"/>
            <w:tcBorders>
              <w:tl2br w:val="nil"/>
              <w:tr2bl w:val="nil"/>
            </w:tcBorders>
            <w:vAlign w:val="center"/>
          </w:tcPr>
          <w:p>
            <w:pPr>
              <w:pStyle w:val="62"/>
              <w:ind w:firstLine="0" w:firstLineChars="0"/>
              <w:rPr>
                <w:color w:val="auto"/>
                <w:sz w:val="21"/>
                <w:szCs w:val="21"/>
              </w:rPr>
            </w:pPr>
            <w:r>
              <w:rPr>
                <w:color w:val="auto"/>
              </w:rPr>
              <w:t>1168吨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10</w:t>
            </w:r>
          </w:p>
        </w:tc>
        <w:tc>
          <w:tcPr>
            <w:tcW w:w="2303" w:type="dxa"/>
            <w:tcBorders>
              <w:tl2br w:val="nil"/>
              <w:tr2bl w:val="nil"/>
            </w:tcBorders>
            <w:vAlign w:val="center"/>
          </w:tcPr>
          <w:p>
            <w:pPr>
              <w:pStyle w:val="62"/>
              <w:ind w:firstLine="0" w:firstLineChars="0"/>
              <w:rPr>
                <w:b w:val="0"/>
                <w:bCs w:val="0"/>
                <w:color w:val="auto"/>
                <w:szCs w:val="21"/>
                <w:u w:val="none"/>
                <w:shd w:val="clear" w:color="auto" w:fill="FFFFFF"/>
              </w:rPr>
            </w:pPr>
            <w:r>
              <w:rPr>
                <w:color w:val="auto"/>
              </w:rPr>
              <w:t>11.75mm钢板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86吨</w:t>
            </w:r>
          </w:p>
        </w:tc>
        <w:tc>
          <w:tcPr>
            <w:tcW w:w="1810" w:type="dxa"/>
            <w:tcBorders>
              <w:tl2br w:val="nil"/>
              <w:tr2bl w:val="nil"/>
            </w:tcBorders>
            <w:vAlign w:val="center"/>
          </w:tcPr>
          <w:p>
            <w:pPr>
              <w:pStyle w:val="62"/>
              <w:ind w:firstLine="0" w:firstLineChars="0"/>
              <w:rPr>
                <w:color w:val="auto"/>
                <w:sz w:val="21"/>
                <w:szCs w:val="21"/>
              </w:rPr>
            </w:pPr>
            <w:r>
              <w:rPr>
                <w:color w:val="auto"/>
              </w:rPr>
              <w:t>86吨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11</w:t>
            </w:r>
          </w:p>
        </w:tc>
        <w:tc>
          <w:tcPr>
            <w:tcW w:w="2303" w:type="dxa"/>
            <w:tcBorders>
              <w:tl2br w:val="nil"/>
              <w:tr2bl w:val="nil"/>
            </w:tcBorders>
            <w:vAlign w:val="center"/>
          </w:tcPr>
          <w:p>
            <w:pPr>
              <w:pStyle w:val="62"/>
              <w:ind w:firstLine="0" w:firstLineChars="0"/>
              <w:rPr>
                <w:b w:val="0"/>
                <w:bCs w:val="0"/>
                <w:color w:val="auto"/>
                <w:szCs w:val="21"/>
                <w:u w:val="none"/>
                <w:shd w:val="clear" w:color="auto" w:fill="FFFFFF"/>
              </w:rPr>
            </w:pPr>
            <w:r>
              <w:rPr>
                <w:color w:val="auto"/>
              </w:rPr>
              <w:t>12mm钢板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215吨</w:t>
            </w:r>
          </w:p>
        </w:tc>
        <w:tc>
          <w:tcPr>
            <w:tcW w:w="1810" w:type="dxa"/>
            <w:tcBorders>
              <w:tl2br w:val="nil"/>
              <w:tr2bl w:val="nil"/>
            </w:tcBorders>
            <w:vAlign w:val="center"/>
          </w:tcPr>
          <w:p>
            <w:pPr>
              <w:pStyle w:val="62"/>
              <w:ind w:firstLine="0" w:firstLineChars="0"/>
              <w:rPr>
                <w:color w:val="auto"/>
                <w:sz w:val="21"/>
                <w:szCs w:val="21"/>
              </w:rPr>
            </w:pPr>
            <w:r>
              <w:rPr>
                <w:color w:val="auto"/>
              </w:rPr>
              <w:t>215吨</w:t>
            </w:r>
          </w:p>
        </w:tc>
        <w:tc>
          <w:tcPr>
            <w:tcW w:w="1493" w:type="dxa"/>
            <w:tcBorders>
              <w:tl2br w:val="nil"/>
              <w:tr2bl w:val="nil"/>
            </w:tcBorders>
            <w:vAlign w:val="center"/>
          </w:tcPr>
          <w:p>
            <w:pPr>
              <w:pStyle w:val="62"/>
              <w:ind w:firstLine="0" w:firstLineChars="0"/>
              <w:rPr>
                <w:rFonts w:hint="default"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color w:val="auto"/>
                <w:sz w:val="21"/>
                <w:szCs w:val="21"/>
              </w:rPr>
            </w:pPr>
            <w:r>
              <w:rPr>
                <w:rFonts w:hint="eastAsia"/>
                <w:color w:val="auto"/>
                <w:sz w:val="21"/>
                <w:szCs w:val="21"/>
              </w:rPr>
              <w:t>12</w:t>
            </w:r>
          </w:p>
        </w:tc>
        <w:tc>
          <w:tcPr>
            <w:tcW w:w="2303" w:type="dxa"/>
            <w:tcBorders>
              <w:tl2br w:val="nil"/>
              <w:tr2bl w:val="nil"/>
            </w:tcBorders>
            <w:vAlign w:val="center"/>
          </w:tcPr>
          <w:p>
            <w:pPr>
              <w:pStyle w:val="62"/>
              <w:ind w:firstLine="0" w:firstLineChars="0"/>
              <w:rPr>
                <w:b w:val="0"/>
                <w:bCs w:val="0"/>
                <w:color w:val="auto"/>
                <w:szCs w:val="21"/>
                <w:u w:val="none"/>
                <w:shd w:val="clear" w:color="auto" w:fill="FFFFFF"/>
              </w:rPr>
            </w:pPr>
            <w:r>
              <w:rPr>
                <w:color w:val="auto"/>
              </w:rPr>
              <w:t>4.75mm钢板</w:t>
            </w:r>
          </w:p>
        </w:tc>
        <w:tc>
          <w:tcPr>
            <w:tcW w:w="2025" w:type="dxa"/>
            <w:tcBorders>
              <w:tl2br w:val="nil"/>
              <w:tr2bl w:val="nil"/>
            </w:tcBorders>
            <w:vAlign w:val="center"/>
          </w:tcPr>
          <w:p>
            <w:pPr>
              <w:pStyle w:val="62"/>
              <w:ind w:firstLine="0" w:firstLineChars="0"/>
              <w:rPr>
                <w:b w:val="0"/>
                <w:bCs w:val="0"/>
                <w:color w:val="auto"/>
                <w:sz w:val="21"/>
                <w:szCs w:val="21"/>
                <w:u w:val="none"/>
              </w:rPr>
            </w:pPr>
            <w:r>
              <w:rPr>
                <w:color w:val="auto"/>
              </w:rPr>
              <w:t>10709吨</w:t>
            </w:r>
          </w:p>
        </w:tc>
        <w:tc>
          <w:tcPr>
            <w:tcW w:w="1810" w:type="dxa"/>
            <w:tcBorders>
              <w:tl2br w:val="nil"/>
              <w:tr2bl w:val="nil"/>
            </w:tcBorders>
            <w:vAlign w:val="center"/>
          </w:tcPr>
          <w:p>
            <w:pPr>
              <w:pStyle w:val="62"/>
              <w:ind w:firstLine="0" w:firstLineChars="0"/>
              <w:rPr>
                <w:color w:val="auto"/>
                <w:sz w:val="21"/>
                <w:szCs w:val="21"/>
              </w:rPr>
            </w:pPr>
            <w:r>
              <w:rPr>
                <w:color w:val="auto"/>
              </w:rPr>
              <w:t>10709吨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13</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5.75mm钢板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15952吨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15952吨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14</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6mm钢板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33吨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33吨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15</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7.75mm钢板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6175吨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6175吨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16</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9.75mm钢板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1936吨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1936吨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17</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3mm花纹板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773吨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773吨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18</w:t>
            </w:r>
          </w:p>
        </w:tc>
        <w:tc>
          <w:tcPr>
            <w:tcW w:w="2303" w:type="dxa"/>
            <w:tcBorders>
              <w:tl2br w:val="nil"/>
              <w:tr2bl w:val="nil"/>
            </w:tcBorders>
            <w:vAlign w:val="center"/>
          </w:tcPr>
          <w:p>
            <w:pPr>
              <w:pStyle w:val="62"/>
              <w:ind w:firstLine="0" w:firstLineChars="0"/>
              <w:rPr>
                <w:rFonts w:hint="eastAsia"/>
                <w:b w:val="0"/>
                <w:bCs w:val="0"/>
                <w:color w:val="auto"/>
                <w:szCs w:val="21"/>
                <w:u w:val="none"/>
                <w:shd w:val="clear" w:color="auto" w:fill="FFFFFF"/>
              </w:rPr>
            </w:pPr>
            <w:r>
              <w:rPr>
                <w:color w:val="auto"/>
              </w:rPr>
              <w:t>4mm花纹板</w:t>
            </w:r>
          </w:p>
        </w:tc>
        <w:tc>
          <w:tcPr>
            <w:tcW w:w="2025" w:type="dxa"/>
            <w:tcBorders>
              <w:tl2br w:val="nil"/>
              <w:tr2bl w:val="nil"/>
            </w:tcBorders>
            <w:vAlign w:val="center"/>
          </w:tcPr>
          <w:p>
            <w:pPr>
              <w:pStyle w:val="62"/>
              <w:ind w:firstLine="0" w:firstLineChars="0"/>
              <w:rPr>
                <w:rFonts w:hint="eastAsia"/>
                <w:b w:val="0"/>
                <w:bCs w:val="0"/>
                <w:color w:val="auto"/>
                <w:sz w:val="21"/>
                <w:szCs w:val="21"/>
                <w:u w:val="none"/>
              </w:rPr>
            </w:pPr>
            <w:r>
              <w:rPr>
                <w:color w:val="auto"/>
              </w:rPr>
              <w:t>18.62吨</w:t>
            </w:r>
          </w:p>
        </w:tc>
        <w:tc>
          <w:tcPr>
            <w:tcW w:w="1810" w:type="dxa"/>
            <w:tcBorders>
              <w:tl2br w:val="nil"/>
              <w:tr2bl w:val="nil"/>
            </w:tcBorders>
            <w:vAlign w:val="center"/>
          </w:tcPr>
          <w:p>
            <w:pPr>
              <w:pStyle w:val="62"/>
              <w:ind w:firstLine="0" w:firstLineChars="0"/>
              <w:rPr>
                <w:rFonts w:hint="eastAsia"/>
                <w:color w:val="auto"/>
                <w:sz w:val="21"/>
                <w:szCs w:val="21"/>
              </w:rPr>
            </w:pPr>
            <w:r>
              <w:rPr>
                <w:color w:val="auto"/>
              </w:rPr>
              <w:t>18.62吨</w:t>
            </w:r>
          </w:p>
        </w:tc>
        <w:tc>
          <w:tcPr>
            <w:tcW w:w="1493" w:type="dxa"/>
            <w:tcBorders>
              <w:tl2br w:val="nil"/>
              <w:tr2bl w:val="nil"/>
            </w:tcBorders>
            <w:vAlign w:val="center"/>
          </w:tcPr>
          <w:p>
            <w:pPr>
              <w:pStyle w:val="62"/>
              <w:ind w:firstLine="0" w:firstLineChars="0"/>
              <w:rPr>
                <w:rFonts w:hint="eastAsia" w:eastAsiaTheme="minor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bookmarkStart w:id="129" w:name="_Toc3863"/>
            <w:r>
              <w:rPr>
                <w:rFonts w:hint="eastAsia"/>
                <w:color w:val="auto"/>
                <w:sz w:val="21"/>
                <w:szCs w:val="21"/>
                <w:lang w:val="en-US" w:eastAsia="zh-CN"/>
              </w:rPr>
              <w:t>19</w:t>
            </w:r>
          </w:p>
        </w:tc>
        <w:tc>
          <w:tcPr>
            <w:tcW w:w="2303" w:type="dxa"/>
            <w:tcBorders>
              <w:tl2br w:val="nil"/>
              <w:tr2bl w:val="nil"/>
            </w:tcBorders>
            <w:vAlign w:val="center"/>
          </w:tcPr>
          <w:p>
            <w:pPr>
              <w:pStyle w:val="62"/>
              <w:ind w:firstLine="0" w:firstLineChars="0"/>
              <w:rPr>
                <w:b w:val="0"/>
                <w:bCs w:val="0"/>
                <w:color w:val="auto"/>
                <w:u w:val="none"/>
              </w:rPr>
            </w:pPr>
            <w:r>
              <w:rPr>
                <w:color w:val="auto"/>
              </w:rPr>
              <w:t>4.5mm花纹板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233.96吨</w:t>
            </w:r>
          </w:p>
        </w:tc>
        <w:tc>
          <w:tcPr>
            <w:tcW w:w="1810" w:type="dxa"/>
            <w:tcBorders>
              <w:tl2br w:val="nil"/>
              <w:tr2bl w:val="nil"/>
            </w:tcBorders>
            <w:vAlign w:val="center"/>
          </w:tcPr>
          <w:p>
            <w:pPr>
              <w:pStyle w:val="62"/>
              <w:ind w:firstLine="0" w:firstLineChars="0"/>
              <w:rPr>
                <w:b w:val="0"/>
                <w:bCs w:val="0"/>
                <w:color w:val="auto"/>
                <w:u w:val="none"/>
              </w:rPr>
            </w:pPr>
            <w:r>
              <w:rPr>
                <w:color w:val="auto"/>
              </w:rPr>
              <w:t>233.96吨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2303" w:type="dxa"/>
            <w:tcBorders>
              <w:tl2br w:val="nil"/>
              <w:tr2bl w:val="nil"/>
            </w:tcBorders>
            <w:vAlign w:val="center"/>
          </w:tcPr>
          <w:p>
            <w:pPr>
              <w:pStyle w:val="62"/>
              <w:ind w:firstLine="0" w:firstLineChars="0"/>
              <w:rPr>
                <w:b w:val="0"/>
                <w:bCs w:val="0"/>
                <w:color w:val="auto"/>
                <w:u w:val="none"/>
              </w:rPr>
            </w:pPr>
            <w:r>
              <w:rPr>
                <w:color w:val="auto"/>
              </w:rPr>
              <w:t>4.75mm花纹板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7.09吨</w:t>
            </w:r>
          </w:p>
        </w:tc>
        <w:tc>
          <w:tcPr>
            <w:tcW w:w="1810" w:type="dxa"/>
            <w:tcBorders>
              <w:tl2br w:val="nil"/>
              <w:tr2bl w:val="nil"/>
            </w:tcBorders>
            <w:vAlign w:val="center"/>
          </w:tcPr>
          <w:p>
            <w:pPr>
              <w:pStyle w:val="62"/>
              <w:ind w:firstLine="0" w:firstLineChars="0"/>
              <w:rPr>
                <w:b w:val="0"/>
                <w:bCs w:val="0"/>
                <w:color w:val="auto"/>
                <w:u w:val="none"/>
              </w:rPr>
            </w:pPr>
            <w:r>
              <w:rPr>
                <w:color w:val="auto"/>
              </w:rPr>
              <w:t>7.09吨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21</w:t>
            </w:r>
          </w:p>
        </w:tc>
        <w:tc>
          <w:tcPr>
            <w:tcW w:w="2303" w:type="dxa"/>
            <w:tcBorders>
              <w:tl2br w:val="nil"/>
              <w:tr2bl w:val="nil"/>
            </w:tcBorders>
            <w:vAlign w:val="center"/>
          </w:tcPr>
          <w:p>
            <w:pPr>
              <w:pStyle w:val="62"/>
              <w:ind w:firstLine="0" w:firstLineChars="0"/>
              <w:rPr>
                <w:b w:val="0"/>
                <w:bCs w:val="0"/>
                <w:color w:val="auto"/>
                <w:u w:val="none"/>
              </w:rPr>
            </w:pPr>
            <w:r>
              <w:rPr>
                <w:color w:val="auto"/>
              </w:rPr>
              <w:t>5.75mm花纹板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7.24吨</w:t>
            </w:r>
          </w:p>
        </w:tc>
        <w:tc>
          <w:tcPr>
            <w:tcW w:w="1810" w:type="dxa"/>
            <w:tcBorders>
              <w:tl2br w:val="nil"/>
              <w:tr2bl w:val="nil"/>
            </w:tcBorders>
            <w:vAlign w:val="center"/>
          </w:tcPr>
          <w:p>
            <w:pPr>
              <w:pStyle w:val="62"/>
              <w:ind w:firstLine="0" w:firstLineChars="0"/>
              <w:rPr>
                <w:b w:val="0"/>
                <w:bCs w:val="0"/>
                <w:color w:val="auto"/>
                <w:u w:val="none"/>
              </w:rPr>
            </w:pPr>
            <w:r>
              <w:rPr>
                <w:color w:val="auto"/>
              </w:rPr>
              <w:t>7.24吨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22</w:t>
            </w:r>
          </w:p>
        </w:tc>
        <w:tc>
          <w:tcPr>
            <w:tcW w:w="2303" w:type="dxa"/>
            <w:tcBorders>
              <w:tl2br w:val="nil"/>
              <w:tr2bl w:val="nil"/>
            </w:tcBorders>
            <w:vAlign w:val="center"/>
          </w:tcPr>
          <w:p>
            <w:pPr>
              <w:pStyle w:val="62"/>
              <w:ind w:firstLine="0" w:firstLineChars="0"/>
              <w:rPr>
                <w:b w:val="0"/>
                <w:bCs w:val="0"/>
                <w:color w:val="auto"/>
                <w:u w:val="none"/>
              </w:rPr>
            </w:pPr>
            <w:r>
              <w:rPr>
                <w:color w:val="auto"/>
              </w:rPr>
              <w:t>6mm花纹板</w:t>
            </w:r>
          </w:p>
        </w:tc>
        <w:tc>
          <w:tcPr>
            <w:tcW w:w="2025" w:type="dxa"/>
            <w:tcBorders>
              <w:tl2br w:val="nil"/>
              <w:tr2bl w:val="nil"/>
            </w:tcBorders>
            <w:vAlign w:val="center"/>
          </w:tcPr>
          <w:p>
            <w:pPr>
              <w:pStyle w:val="62"/>
              <w:ind w:firstLine="0" w:firstLineChars="0"/>
              <w:rPr>
                <w:b w:val="0"/>
                <w:bCs w:val="0"/>
                <w:color w:val="auto"/>
                <w:u w:val="none"/>
              </w:rPr>
            </w:pPr>
            <w:r>
              <w:rPr>
                <w:color w:val="auto"/>
              </w:rPr>
              <w:t>6.76吨</w:t>
            </w:r>
          </w:p>
        </w:tc>
        <w:tc>
          <w:tcPr>
            <w:tcW w:w="1810" w:type="dxa"/>
            <w:tcBorders>
              <w:tl2br w:val="nil"/>
              <w:tr2bl w:val="nil"/>
            </w:tcBorders>
            <w:vAlign w:val="center"/>
          </w:tcPr>
          <w:p>
            <w:pPr>
              <w:pStyle w:val="62"/>
              <w:ind w:firstLine="0" w:firstLineChars="0"/>
              <w:rPr>
                <w:b w:val="0"/>
                <w:bCs w:val="0"/>
                <w:color w:val="auto"/>
                <w:u w:val="none"/>
              </w:rPr>
            </w:pPr>
            <w:r>
              <w:rPr>
                <w:color w:val="auto"/>
              </w:rPr>
              <w:t>6.76吨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23</w:t>
            </w:r>
          </w:p>
        </w:tc>
        <w:tc>
          <w:tcPr>
            <w:tcW w:w="2303" w:type="dxa"/>
            <w:tcBorders>
              <w:tl2br w:val="nil"/>
              <w:tr2bl w:val="nil"/>
            </w:tcBorders>
            <w:vAlign w:val="center"/>
          </w:tcPr>
          <w:p>
            <w:pPr>
              <w:pStyle w:val="62"/>
              <w:ind w:firstLine="0" w:firstLineChars="0"/>
              <w:rPr>
                <w:b w:val="0"/>
                <w:bCs w:val="0"/>
                <w:color w:val="auto"/>
                <w:u w:val="none"/>
              </w:rPr>
            </w:pPr>
            <w:r>
              <w:rPr>
                <w:color w:val="auto"/>
              </w:rPr>
              <w:t>焊丝</w:t>
            </w:r>
          </w:p>
        </w:tc>
        <w:tc>
          <w:tcPr>
            <w:tcW w:w="2025" w:type="dxa"/>
            <w:tcBorders>
              <w:tl2br w:val="nil"/>
              <w:tr2bl w:val="nil"/>
            </w:tcBorders>
            <w:vAlign w:val="center"/>
          </w:tcPr>
          <w:p>
            <w:pPr>
              <w:pStyle w:val="62"/>
              <w:ind w:firstLine="0" w:firstLineChars="0"/>
              <w:rPr>
                <w:b w:val="0"/>
                <w:bCs w:val="0"/>
                <w:color w:val="auto"/>
                <w:u w:val="none"/>
              </w:rPr>
            </w:pPr>
            <w:r>
              <w:rPr>
                <w:rFonts w:hint="eastAsia"/>
                <w:color w:val="auto"/>
              </w:rPr>
              <w:t>400</w:t>
            </w:r>
            <w:r>
              <w:rPr>
                <w:color w:val="auto"/>
              </w:rPr>
              <w:t>吨</w:t>
            </w:r>
          </w:p>
        </w:tc>
        <w:tc>
          <w:tcPr>
            <w:tcW w:w="1810" w:type="dxa"/>
            <w:tcBorders>
              <w:tl2br w:val="nil"/>
              <w:tr2bl w:val="nil"/>
            </w:tcBorders>
            <w:vAlign w:val="center"/>
          </w:tcPr>
          <w:p>
            <w:pPr>
              <w:pStyle w:val="62"/>
              <w:ind w:firstLine="0" w:firstLineChars="0"/>
              <w:rPr>
                <w:b w:val="0"/>
                <w:bCs w:val="0"/>
                <w:color w:val="auto"/>
                <w:u w:val="none"/>
              </w:rPr>
            </w:pPr>
            <w:r>
              <w:rPr>
                <w:rFonts w:hint="eastAsia"/>
                <w:color w:val="auto"/>
              </w:rPr>
              <w:t>400</w:t>
            </w:r>
            <w:r>
              <w:rPr>
                <w:color w:val="auto"/>
              </w:rPr>
              <w:t>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24</w:t>
            </w:r>
          </w:p>
        </w:tc>
        <w:tc>
          <w:tcPr>
            <w:tcW w:w="2303" w:type="dxa"/>
            <w:tcBorders>
              <w:tl2br w:val="nil"/>
              <w:tr2bl w:val="nil"/>
            </w:tcBorders>
            <w:vAlign w:val="center"/>
          </w:tcPr>
          <w:p>
            <w:pPr>
              <w:pStyle w:val="62"/>
              <w:ind w:firstLine="0" w:firstLineChars="0"/>
              <w:rPr>
                <w:b w:val="0"/>
                <w:bCs w:val="0"/>
                <w:color w:val="auto"/>
                <w:u w:val="none"/>
              </w:rPr>
            </w:pPr>
            <w:r>
              <w:rPr>
                <w:color w:val="auto"/>
              </w:rPr>
              <w:t>焊条</w:t>
            </w:r>
          </w:p>
        </w:tc>
        <w:tc>
          <w:tcPr>
            <w:tcW w:w="2025" w:type="dxa"/>
            <w:tcBorders>
              <w:tl2br w:val="nil"/>
              <w:tr2bl w:val="nil"/>
            </w:tcBorders>
            <w:vAlign w:val="center"/>
          </w:tcPr>
          <w:p>
            <w:pPr>
              <w:pStyle w:val="62"/>
              <w:ind w:firstLine="0" w:firstLineChars="0"/>
              <w:rPr>
                <w:b w:val="0"/>
                <w:bCs w:val="0"/>
                <w:color w:val="auto"/>
                <w:u w:val="none"/>
              </w:rPr>
            </w:pPr>
            <w:r>
              <w:rPr>
                <w:rFonts w:hint="eastAsia"/>
                <w:color w:val="auto"/>
              </w:rPr>
              <w:t>90</w:t>
            </w:r>
            <w:r>
              <w:rPr>
                <w:color w:val="auto"/>
              </w:rPr>
              <w:t>吨</w:t>
            </w:r>
          </w:p>
        </w:tc>
        <w:tc>
          <w:tcPr>
            <w:tcW w:w="1810" w:type="dxa"/>
            <w:tcBorders>
              <w:tl2br w:val="nil"/>
              <w:tr2bl w:val="nil"/>
            </w:tcBorders>
            <w:vAlign w:val="center"/>
          </w:tcPr>
          <w:p>
            <w:pPr>
              <w:pStyle w:val="62"/>
              <w:ind w:firstLine="0" w:firstLineChars="0"/>
              <w:rPr>
                <w:b w:val="0"/>
                <w:bCs w:val="0"/>
                <w:color w:val="auto"/>
                <w:u w:val="none"/>
              </w:rPr>
            </w:pPr>
            <w:r>
              <w:rPr>
                <w:rFonts w:hint="eastAsia"/>
                <w:color w:val="auto"/>
              </w:rPr>
              <w:t>90</w:t>
            </w:r>
            <w:r>
              <w:rPr>
                <w:color w:val="auto"/>
              </w:rPr>
              <w:t>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25</w:t>
            </w:r>
          </w:p>
        </w:tc>
        <w:tc>
          <w:tcPr>
            <w:tcW w:w="2303" w:type="dxa"/>
            <w:tcBorders>
              <w:tl2br w:val="nil"/>
              <w:tr2bl w:val="nil"/>
            </w:tcBorders>
            <w:vAlign w:val="center"/>
          </w:tcPr>
          <w:p>
            <w:pPr>
              <w:pStyle w:val="62"/>
              <w:ind w:firstLine="0" w:firstLineChars="0"/>
              <w:rPr>
                <w:b w:val="0"/>
                <w:bCs w:val="0"/>
                <w:color w:val="auto"/>
                <w:u w:val="none"/>
              </w:rPr>
            </w:pPr>
            <w:r>
              <w:rPr>
                <w:color w:val="auto"/>
              </w:rPr>
              <w:t>焊剂</w:t>
            </w:r>
          </w:p>
        </w:tc>
        <w:tc>
          <w:tcPr>
            <w:tcW w:w="2025" w:type="dxa"/>
            <w:tcBorders>
              <w:tl2br w:val="nil"/>
              <w:tr2bl w:val="nil"/>
            </w:tcBorders>
            <w:vAlign w:val="center"/>
          </w:tcPr>
          <w:p>
            <w:pPr>
              <w:pStyle w:val="62"/>
              <w:ind w:firstLine="0" w:firstLineChars="0"/>
              <w:rPr>
                <w:b w:val="0"/>
                <w:bCs w:val="0"/>
                <w:color w:val="auto"/>
                <w:u w:val="none"/>
              </w:rPr>
            </w:pPr>
            <w:r>
              <w:rPr>
                <w:color w:val="auto"/>
              </w:rPr>
              <w:t>100吨</w:t>
            </w:r>
          </w:p>
        </w:tc>
        <w:tc>
          <w:tcPr>
            <w:tcW w:w="1810" w:type="dxa"/>
            <w:tcBorders>
              <w:tl2br w:val="nil"/>
              <w:tr2bl w:val="nil"/>
            </w:tcBorders>
            <w:vAlign w:val="center"/>
          </w:tcPr>
          <w:p>
            <w:pPr>
              <w:pStyle w:val="62"/>
              <w:ind w:firstLine="0" w:firstLineChars="0"/>
              <w:rPr>
                <w:b w:val="0"/>
                <w:bCs w:val="0"/>
                <w:color w:val="auto"/>
                <w:u w:val="none"/>
              </w:rPr>
            </w:pPr>
            <w:r>
              <w:rPr>
                <w:color w:val="auto"/>
              </w:rPr>
              <w:t>100吨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26</w:t>
            </w:r>
          </w:p>
        </w:tc>
        <w:tc>
          <w:tcPr>
            <w:tcW w:w="2303" w:type="dxa"/>
            <w:tcBorders>
              <w:tl2br w:val="nil"/>
              <w:tr2bl w:val="nil"/>
            </w:tcBorders>
            <w:vAlign w:val="center"/>
          </w:tcPr>
          <w:p>
            <w:pPr>
              <w:pStyle w:val="62"/>
              <w:ind w:firstLine="0" w:firstLineChars="0"/>
              <w:rPr>
                <w:b w:val="0"/>
                <w:bCs w:val="0"/>
                <w:color w:val="auto"/>
                <w:u w:val="none"/>
              </w:rPr>
            </w:pPr>
            <w:r>
              <w:rPr>
                <w:color w:val="auto"/>
              </w:rPr>
              <w:t>环氧云铁中间漆</w:t>
            </w:r>
          </w:p>
        </w:tc>
        <w:tc>
          <w:tcPr>
            <w:tcW w:w="2025" w:type="dxa"/>
            <w:tcBorders>
              <w:tl2br w:val="nil"/>
              <w:tr2bl w:val="nil"/>
            </w:tcBorders>
            <w:vAlign w:val="center"/>
          </w:tcPr>
          <w:p>
            <w:pPr>
              <w:pStyle w:val="62"/>
              <w:ind w:firstLine="0" w:firstLineChars="0"/>
              <w:rPr>
                <w:b w:val="0"/>
                <w:bCs w:val="0"/>
                <w:color w:val="auto"/>
                <w:u w:val="none"/>
              </w:rPr>
            </w:pPr>
            <w:r>
              <w:rPr>
                <w:color w:val="auto"/>
              </w:rPr>
              <w:t>87.895吨</w:t>
            </w:r>
          </w:p>
        </w:tc>
        <w:tc>
          <w:tcPr>
            <w:tcW w:w="1810" w:type="dxa"/>
            <w:tcBorders>
              <w:tl2br w:val="nil"/>
              <w:tr2bl w:val="nil"/>
            </w:tcBorders>
            <w:vAlign w:val="center"/>
          </w:tcPr>
          <w:p>
            <w:pPr>
              <w:pStyle w:val="62"/>
              <w:ind w:firstLine="0" w:firstLineChars="0"/>
              <w:rPr>
                <w:b w:val="0"/>
                <w:bCs w:val="0"/>
                <w:color w:val="auto"/>
                <w:u w:val="none"/>
              </w:rPr>
            </w:pPr>
            <w:r>
              <w:rPr>
                <w:color w:val="auto"/>
              </w:rPr>
              <w:t>87.895吨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27</w:t>
            </w:r>
          </w:p>
        </w:tc>
        <w:tc>
          <w:tcPr>
            <w:tcW w:w="2303" w:type="dxa"/>
            <w:tcBorders>
              <w:tl2br w:val="nil"/>
              <w:tr2bl w:val="nil"/>
            </w:tcBorders>
            <w:vAlign w:val="center"/>
          </w:tcPr>
          <w:p>
            <w:pPr>
              <w:pStyle w:val="62"/>
              <w:ind w:firstLine="0" w:firstLineChars="0"/>
              <w:rPr>
                <w:b w:val="0"/>
                <w:bCs w:val="0"/>
                <w:color w:val="auto"/>
                <w:u w:val="none"/>
              </w:rPr>
            </w:pPr>
            <w:r>
              <w:rPr>
                <w:color w:val="auto"/>
              </w:rPr>
              <w:t>环氧富锌底漆</w:t>
            </w:r>
          </w:p>
        </w:tc>
        <w:tc>
          <w:tcPr>
            <w:tcW w:w="2025" w:type="dxa"/>
            <w:tcBorders>
              <w:tl2br w:val="nil"/>
              <w:tr2bl w:val="nil"/>
            </w:tcBorders>
            <w:vAlign w:val="center"/>
          </w:tcPr>
          <w:p>
            <w:pPr>
              <w:pStyle w:val="62"/>
              <w:ind w:firstLine="0" w:firstLineChars="0"/>
              <w:rPr>
                <w:b w:val="0"/>
                <w:bCs w:val="0"/>
                <w:color w:val="auto"/>
                <w:u w:val="none"/>
              </w:rPr>
            </w:pPr>
            <w:r>
              <w:rPr>
                <w:color w:val="auto"/>
              </w:rPr>
              <w:t>89.9404吨</w:t>
            </w:r>
          </w:p>
        </w:tc>
        <w:tc>
          <w:tcPr>
            <w:tcW w:w="1810" w:type="dxa"/>
            <w:tcBorders>
              <w:tl2br w:val="nil"/>
              <w:tr2bl w:val="nil"/>
            </w:tcBorders>
            <w:vAlign w:val="center"/>
          </w:tcPr>
          <w:p>
            <w:pPr>
              <w:pStyle w:val="62"/>
              <w:ind w:firstLine="0" w:firstLineChars="0"/>
              <w:rPr>
                <w:b w:val="0"/>
                <w:bCs w:val="0"/>
                <w:color w:val="auto"/>
                <w:u w:val="none"/>
              </w:rPr>
            </w:pPr>
            <w:r>
              <w:rPr>
                <w:color w:val="auto"/>
              </w:rPr>
              <w:t>89.9404吨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28</w:t>
            </w:r>
          </w:p>
        </w:tc>
        <w:tc>
          <w:tcPr>
            <w:tcW w:w="2303" w:type="dxa"/>
            <w:tcBorders>
              <w:tl2br w:val="nil"/>
              <w:tr2bl w:val="nil"/>
            </w:tcBorders>
            <w:vAlign w:val="center"/>
          </w:tcPr>
          <w:p>
            <w:pPr>
              <w:pStyle w:val="62"/>
              <w:ind w:firstLine="0" w:firstLineChars="0"/>
              <w:rPr>
                <w:b w:val="0"/>
                <w:bCs w:val="0"/>
                <w:color w:val="auto"/>
                <w:u w:val="none"/>
              </w:rPr>
            </w:pPr>
            <w:r>
              <w:rPr>
                <w:color w:val="auto"/>
              </w:rPr>
              <w:t>聚氨酯面漆</w:t>
            </w:r>
          </w:p>
        </w:tc>
        <w:tc>
          <w:tcPr>
            <w:tcW w:w="2025" w:type="dxa"/>
            <w:tcBorders>
              <w:tl2br w:val="nil"/>
              <w:tr2bl w:val="nil"/>
            </w:tcBorders>
            <w:vAlign w:val="center"/>
          </w:tcPr>
          <w:p>
            <w:pPr>
              <w:pStyle w:val="62"/>
              <w:ind w:firstLine="0" w:firstLineChars="0"/>
              <w:rPr>
                <w:b w:val="0"/>
                <w:bCs w:val="0"/>
                <w:color w:val="auto"/>
                <w:u w:val="none"/>
              </w:rPr>
            </w:pPr>
            <w:r>
              <w:rPr>
                <w:color w:val="auto"/>
              </w:rPr>
              <w:t>59.3318吨</w:t>
            </w:r>
          </w:p>
        </w:tc>
        <w:tc>
          <w:tcPr>
            <w:tcW w:w="1810" w:type="dxa"/>
            <w:tcBorders>
              <w:tl2br w:val="nil"/>
              <w:tr2bl w:val="nil"/>
            </w:tcBorders>
            <w:vAlign w:val="center"/>
          </w:tcPr>
          <w:p>
            <w:pPr>
              <w:pStyle w:val="62"/>
              <w:ind w:firstLine="0" w:firstLineChars="0"/>
              <w:rPr>
                <w:b w:val="0"/>
                <w:bCs w:val="0"/>
                <w:color w:val="auto"/>
                <w:u w:val="none"/>
              </w:rPr>
            </w:pPr>
            <w:r>
              <w:rPr>
                <w:color w:val="auto"/>
              </w:rPr>
              <w:t>59.3318吨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29</w:t>
            </w:r>
          </w:p>
        </w:tc>
        <w:tc>
          <w:tcPr>
            <w:tcW w:w="2303" w:type="dxa"/>
            <w:tcBorders>
              <w:tl2br w:val="nil"/>
              <w:tr2bl w:val="nil"/>
            </w:tcBorders>
            <w:vAlign w:val="center"/>
          </w:tcPr>
          <w:p>
            <w:pPr>
              <w:pStyle w:val="62"/>
              <w:ind w:firstLine="0" w:firstLineChars="0"/>
              <w:rPr>
                <w:b w:val="0"/>
                <w:bCs w:val="0"/>
                <w:color w:val="auto"/>
                <w:u w:val="none"/>
              </w:rPr>
            </w:pPr>
            <w:r>
              <w:rPr>
                <w:color w:val="auto"/>
              </w:rPr>
              <w:t>固化剂</w:t>
            </w:r>
          </w:p>
        </w:tc>
        <w:tc>
          <w:tcPr>
            <w:tcW w:w="2025" w:type="dxa"/>
            <w:tcBorders>
              <w:tl2br w:val="nil"/>
              <w:tr2bl w:val="nil"/>
            </w:tcBorders>
            <w:vAlign w:val="center"/>
          </w:tcPr>
          <w:p>
            <w:pPr>
              <w:pStyle w:val="62"/>
              <w:ind w:firstLine="0" w:firstLineChars="0"/>
              <w:rPr>
                <w:b w:val="0"/>
                <w:bCs w:val="0"/>
                <w:color w:val="auto"/>
                <w:u w:val="none"/>
              </w:rPr>
            </w:pPr>
            <w:r>
              <w:rPr>
                <w:color w:val="auto"/>
              </w:rPr>
              <w:t>38.9988吨</w:t>
            </w:r>
          </w:p>
        </w:tc>
        <w:tc>
          <w:tcPr>
            <w:tcW w:w="1810" w:type="dxa"/>
            <w:tcBorders>
              <w:tl2br w:val="nil"/>
              <w:tr2bl w:val="nil"/>
            </w:tcBorders>
            <w:vAlign w:val="center"/>
          </w:tcPr>
          <w:p>
            <w:pPr>
              <w:pStyle w:val="62"/>
              <w:ind w:firstLine="0" w:firstLineChars="0"/>
              <w:rPr>
                <w:b w:val="0"/>
                <w:bCs w:val="0"/>
                <w:color w:val="auto"/>
                <w:u w:val="none"/>
              </w:rPr>
            </w:pPr>
            <w:r>
              <w:rPr>
                <w:color w:val="auto"/>
              </w:rPr>
              <w:t>38.9988吨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2303" w:type="dxa"/>
            <w:tcBorders>
              <w:tl2br w:val="nil"/>
              <w:tr2bl w:val="nil"/>
            </w:tcBorders>
            <w:vAlign w:val="center"/>
          </w:tcPr>
          <w:p>
            <w:pPr>
              <w:pStyle w:val="62"/>
              <w:ind w:firstLine="0" w:firstLineChars="0"/>
              <w:rPr>
                <w:b w:val="0"/>
                <w:bCs w:val="0"/>
                <w:color w:val="auto"/>
                <w:u w:val="none"/>
              </w:rPr>
            </w:pPr>
            <w:r>
              <w:rPr>
                <w:color w:val="auto"/>
              </w:rPr>
              <w:t>稀释剂</w:t>
            </w:r>
          </w:p>
        </w:tc>
        <w:tc>
          <w:tcPr>
            <w:tcW w:w="2025" w:type="dxa"/>
            <w:tcBorders>
              <w:tl2br w:val="nil"/>
              <w:tr2bl w:val="nil"/>
            </w:tcBorders>
            <w:vAlign w:val="center"/>
          </w:tcPr>
          <w:p>
            <w:pPr>
              <w:pStyle w:val="62"/>
              <w:ind w:firstLine="0" w:firstLineChars="0"/>
              <w:rPr>
                <w:b w:val="0"/>
                <w:bCs w:val="0"/>
                <w:color w:val="auto"/>
                <w:u w:val="none"/>
              </w:rPr>
            </w:pPr>
            <w:r>
              <w:rPr>
                <w:color w:val="auto"/>
              </w:rPr>
              <w:t>60.5222吨</w:t>
            </w:r>
          </w:p>
        </w:tc>
        <w:tc>
          <w:tcPr>
            <w:tcW w:w="1810" w:type="dxa"/>
            <w:tcBorders>
              <w:tl2br w:val="nil"/>
              <w:tr2bl w:val="nil"/>
            </w:tcBorders>
            <w:vAlign w:val="center"/>
          </w:tcPr>
          <w:p>
            <w:pPr>
              <w:pStyle w:val="62"/>
              <w:ind w:firstLine="0" w:firstLineChars="0"/>
              <w:rPr>
                <w:b w:val="0"/>
                <w:bCs w:val="0"/>
                <w:color w:val="auto"/>
                <w:u w:val="none"/>
              </w:rPr>
            </w:pPr>
            <w:r>
              <w:rPr>
                <w:color w:val="auto"/>
              </w:rPr>
              <w:t>60.5222吨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31</w:t>
            </w:r>
          </w:p>
        </w:tc>
        <w:tc>
          <w:tcPr>
            <w:tcW w:w="2303" w:type="dxa"/>
            <w:tcBorders>
              <w:tl2br w:val="nil"/>
              <w:tr2bl w:val="nil"/>
            </w:tcBorders>
            <w:vAlign w:val="center"/>
          </w:tcPr>
          <w:p>
            <w:pPr>
              <w:pStyle w:val="62"/>
              <w:ind w:firstLine="0" w:firstLineChars="0"/>
              <w:rPr>
                <w:b w:val="0"/>
                <w:bCs w:val="0"/>
                <w:color w:val="auto"/>
                <w:u w:val="none"/>
              </w:rPr>
            </w:pPr>
            <w:r>
              <w:rPr>
                <w:color w:val="auto"/>
              </w:rPr>
              <w:t>液氧</w:t>
            </w:r>
          </w:p>
        </w:tc>
        <w:tc>
          <w:tcPr>
            <w:tcW w:w="2025" w:type="dxa"/>
            <w:tcBorders>
              <w:tl2br w:val="nil"/>
              <w:tr2bl w:val="nil"/>
            </w:tcBorders>
            <w:vAlign w:val="center"/>
          </w:tcPr>
          <w:p>
            <w:pPr>
              <w:pStyle w:val="62"/>
              <w:ind w:firstLine="0" w:firstLineChars="0"/>
              <w:rPr>
                <w:b w:val="0"/>
                <w:bCs w:val="0"/>
                <w:color w:val="auto"/>
                <w:u w:val="none"/>
              </w:rPr>
            </w:pPr>
            <w:r>
              <w:rPr>
                <w:color w:val="auto"/>
              </w:rPr>
              <w:t>343吨</w:t>
            </w:r>
          </w:p>
        </w:tc>
        <w:tc>
          <w:tcPr>
            <w:tcW w:w="1810" w:type="dxa"/>
            <w:tcBorders>
              <w:tl2br w:val="nil"/>
              <w:tr2bl w:val="nil"/>
            </w:tcBorders>
            <w:vAlign w:val="center"/>
          </w:tcPr>
          <w:p>
            <w:pPr>
              <w:pStyle w:val="62"/>
              <w:ind w:firstLine="0" w:firstLineChars="0"/>
              <w:rPr>
                <w:b w:val="0"/>
                <w:bCs w:val="0"/>
                <w:color w:val="auto"/>
                <w:u w:val="none"/>
              </w:rPr>
            </w:pPr>
            <w:r>
              <w:rPr>
                <w:color w:val="auto"/>
              </w:rPr>
              <w:t>343吨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32</w:t>
            </w:r>
          </w:p>
        </w:tc>
        <w:tc>
          <w:tcPr>
            <w:tcW w:w="2303" w:type="dxa"/>
            <w:tcBorders>
              <w:tl2br w:val="nil"/>
              <w:tr2bl w:val="nil"/>
            </w:tcBorders>
            <w:vAlign w:val="center"/>
          </w:tcPr>
          <w:p>
            <w:pPr>
              <w:pStyle w:val="62"/>
              <w:ind w:firstLine="0" w:firstLineChars="0"/>
              <w:rPr>
                <w:b w:val="0"/>
                <w:bCs w:val="0"/>
                <w:color w:val="auto"/>
                <w:u w:val="none"/>
              </w:rPr>
            </w:pPr>
            <w:r>
              <w:rPr>
                <w:color w:val="auto"/>
              </w:rPr>
              <w:t>丙烷</w:t>
            </w:r>
          </w:p>
        </w:tc>
        <w:tc>
          <w:tcPr>
            <w:tcW w:w="2025" w:type="dxa"/>
            <w:tcBorders>
              <w:tl2br w:val="nil"/>
              <w:tr2bl w:val="nil"/>
            </w:tcBorders>
            <w:vAlign w:val="center"/>
          </w:tcPr>
          <w:p>
            <w:pPr>
              <w:pStyle w:val="62"/>
              <w:ind w:firstLine="0" w:firstLineChars="0"/>
              <w:rPr>
                <w:b w:val="0"/>
                <w:bCs w:val="0"/>
                <w:color w:val="auto"/>
                <w:u w:val="none"/>
              </w:rPr>
            </w:pPr>
            <w:r>
              <w:rPr>
                <w:color w:val="auto"/>
              </w:rPr>
              <w:t>83吨</w:t>
            </w:r>
          </w:p>
        </w:tc>
        <w:tc>
          <w:tcPr>
            <w:tcW w:w="1810" w:type="dxa"/>
            <w:tcBorders>
              <w:tl2br w:val="nil"/>
              <w:tr2bl w:val="nil"/>
            </w:tcBorders>
            <w:vAlign w:val="center"/>
          </w:tcPr>
          <w:p>
            <w:pPr>
              <w:pStyle w:val="62"/>
              <w:ind w:firstLine="0" w:firstLineChars="0"/>
              <w:rPr>
                <w:b w:val="0"/>
                <w:bCs w:val="0"/>
                <w:color w:val="auto"/>
                <w:u w:val="none"/>
              </w:rPr>
            </w:pPr>
            <w:r>
              <w:rPr>
                <w:color w:val="auto"/>
              </w:rPr>
              <w:t>83吨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1" w:type="dxa"/>
            <w:tcBorders>
              <w:tl2br w:val="nil"/>
              <w:tr2bl w:val="nil"/>
            </w:tcBorders>
            <w:vAlign w:val="center"/>
          </w:tcPr>
          <w:p>
            <w:pPr>
              <w:pStyle w:val="43"/>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33</w:t>
            </w:r>
          </w:p>
        </w:tc>
        <w:tc>
          <w:tcPr>
            <w:tcW w:w="2303" w:type="dxa"/>
            <w:tcBorders>
              <w:tl2br w:val="nil"/>
              <w:tr2bl w:val="nil"/>
            </w:tcBorders>
            <w:vAlign w:val="center"/>
          </w:tcPr>
          <w:p>
            <w:pPr>
              <w:pStyle w:val="62"/>
              <w:ind w:firstLine="0" w:firstLineChars="0"/>
              <w:rPr>
                <w:b w:val="0"/>
                <w:bCs w:val="0"/>
                <w:color w:val="auto"/>
                <w:u w:val="none"/>
              </w:rPr>
            </w:pPr>
            <w:r>
              <w:rPr>
                <w:color w:val="auto"/>
              </w:rPr>
              <w:t>二氧化碳</w:t>
            </w:r>
          </w:p>
        </w:tc>
        <w:tc>
          <w:tcPr>
            <w:tcW w:w="2025" w:type="dxa"/>
            <w:tcBorders>
              <w:tl2br w:val="nil"/>
              <w:tr2bl w:val="nil"/>
            </w:tcBorders>
            <w:vAlign w:val="center"/>
          </w:tcPr>
          <w:p>
            <w:pPr>
              <w:pStyle w:val="62"/>
              <w:ind w:firstLine="0" w:firstLineChars="0"/>
              <w:rPr>
                <w:b w:val="0"/>
                <w:bCs w:val="0"/>
                <w:color w:val="auto"/>
                <w:u w:val="none"/>
              </w:rPr>
            </w:pPr>
            <w:r>
              <w:rPr>
                <w:color w:val="auto"/>
              </w:rPr>
              <w:t>663吨</w:t>
            </w:r>
          </w:p>
        </w:tc>
        <w:tc>
          <w:tcPr>
            <w:tcW w:w="1810" w:type="dxa"/>
            <w:tcBorders>
              <w:tl2br w:val="nil"/>
              <w:tr2bl w:val="nil"/>
            </w:tcBorders>
            <w:vAlign w:val="center"/>
          </w:tcPr>
          <w:p>
            <w:pPr>
              <w:pStyle w:val="62"/>
              <w:ind w:firstLine="0" w:firstLineChars="0"/>
              <w:rPr>
                <w:b w:val="0"/>
                <w:bCs w:val="0"/>
                <w:color w:val="auto"/>
                <w:u w:val="none"/>
              </w:rPr>
            </w:pPr>
            <w:r>
              <w:rPr>
                <w:color w:val="auto"/>
              </w:rPr>
              <w:t>663吨</w:t>
            </w:r>
          </w:p>
        </w:tc>
        <w:tc>
          <w:tcPr>
            <w:tcW w:w="1493" w:type="dxa"/>
            <w:tcBorders>
              <w:tl2br w:val="nil"/>
              <w:tr2bl w:val="nil"/>
            </w:tcBorders>
            <w:vAlign w:val="center"/>
          </w:tcPr>
          <w:p>
            <w:pPr>
              <w:pStyle w:val="62"/>
              <w:ind w:firstLine="0" w:firstLineChars="0"/>
              <w:rPr>
                <w:rFonts w:hint="eastAsia"/>
                <w:b w:val="0"/>
                <w:bCs w:val="0"/>
                <w:color w:val="auto"/>
                <w:u w:val="none"/>
                <w:lang w:val="en-US" w:eastAsia="zh-CN"/>
              </w:rPr>
            </w:pPr>
            <w:r>
              <w:rPr>
                <w:rFonts w:hint="eastAsia"/>
                <w:b w:val="0"/>
                <w:bCs w:val="0"/>
                <w:color w:val="auto"/>
                <w:u w:val="none"/>
                <w:lang w:val="en-US" w:eastAsia="zh-CN"/>
              </w:rPr>
              <w:t>一致</w:t>
            </w:r>
          </w:p>
        </w:tc>
      </w:tr>
    </w:tbl>
    <w:p>
      <w:pPr>
        <w:pStyle w:val="3"/>
        <w:keepNext/>
        <w:keepLines/>
        <w:pageBreakBefore w:val="0"/>
        <w:widowControl w:val="0"/>
        <w:kinsoku/>
        <w:wordWrap/>
        <w:overflowPunct/>
        <w:topLinePunct w:val="0"/>
        <w:autoSpaceDE/>
        <w:autoSpaceDN/>
        <w:bidi w:val="0"/>
        <w:adjustRightInd/>
        <w:snapToGrid/>
        <w:spacing w:beforeLines="0" w:afterLines="0" w:line="460" w:lineRule="exact"/>
        <w:textAlignment w:val="auto"/>
        <w:rPr>
          <w:rFonts w:cs="Times New Roman"/>
        </w:rPr>
      </w:pPr>
      <w:r>
        <w:rPr>
          <w:rFonts w:cs="Times New Roman"/>
        </w:rPr>
        <w:t>3.4 水源及水平衡</w:t>
      </w:r>
      <w:bookmarkEnd w:id="118"/>
      <w:bookmarkEnd w:id="119"/>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textAlignment w:val="auto"/>
        <w:outlineLvl w:val="9"/>
        <w:rPr>
          <w:rFonts w:cs="Times New Roman"/>
        </w:rPr>
      </w:pPr>
      <w:r>
        <w:rPr>
          <w:rFonts w:cs="Times New Roman"/>
        </w:rPr>
        <w:t>（1）用水</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default" w:cs="Times New Roman" w:eastAsiaTheme="minorEastAsia"/>
          <w:bCs/>
          <w:lang w:val="en-US" w:eastAsia="zh-CN"/>
        </w:rPr>
      </w:pPr>
      <w:r>
        <w:rPr>
          <w:rFonts w:hint="eastAsia" w:cs="Times New Roman"/>
          <w:bCs/>
        </w:rPr>
        <w:t>根据现场调查，</w:t>
      </w:r>
      <w:r>
        <w:rPr>
          <w:rFonts w:hint="eastAsia"/>
          <w:color w:val="000000" w:themeColor="text1"/>
          <w:sz w:val="24"/>
          <w14:textFill>
            <w14:solidFill>
              <w14:schemeClr w14:val="tx1"/>
            </w14:solidFill>
          </w14:textFill>
        </w:rPr>
        <w:t>本项目用水主要为生活用水</w:t>
      </w:r>
      <w:r>
        <w:rPr>
          <w:rFonts w:hint="eastAsia" w:cs="Times New Roman"/>
          <w:bCs/>
        </w:rPr>
        <w:t>，</w:t>
      </w:r>
      <w:r>
        <w:rPr>
          <w:rFonts w:hint="eastAsia" w:cs="Times New Roman"/>
          <w:bCs/>
          <w:lang w:val="en-US" w:eastAsia="zh-CN"/>
        </w:rPr>
        <w:t>劳动定员1200人，年生产天数300天，职工在厂区内食宿，生活用水量为21.3</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6390</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textAlignment w:val="auto"/>
        <w:outlineLvl w:val="9"/>
        <w:rPr>
          <w:rFonts w:cs="Times New Roman"/>
        </w:rPr>
      </w:pPr>
      <w:r>
        <w:rPr>
          <w:rFonts w:cs="Times New Roman"/>
        </w:rPr>
        <w:t>（2）排水</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480" w:firstLineChars="200"/>
        <w:textAlignment w:val="auto"/>
        <w:outlineLvl w:val="9"/>
        <w:rPr>
          <w:rFonts w:hint="eastAsia" w:cs="Times New Roman"/>
          <w:lang w:val="en-US" w:eastAsia="zh-CN"/>
        </w:rPr>
      </w:pPr>
      <w:r>
        <w:rPr>
          <w:rFonts w:hint="eastAsia"/>
          <w:color w:val="000000" w:themeColor="text1"/>
          <w:sz w:val="24"/>
          <w14:textFill>
            <w14:solidFill>
              <w14:schemeClr w14:val="tx1"/>
            </w14:solidFill>
          </w14:textFill>
        </w:rPr>
        <w:t>本项目外排废水为生活污水。</w:t>
      </w:r>
      <w:r>
        <w:rPr>
          <w:rFonts w:hint="eastAsia"/>
          <w:b w:val="0"/>
          <w:bCs/>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排污系数以0.8计，则生活污水</w:t>
      </w:r>
      <w:r>
        <w:rPr>
          <w:rFonts w:hint="eastAsia"/>
          <w:color w:val="000000" w:themeColor="text1"/>
          <w:sz w:val="24"/>
          <w:lang w:val="en-US" w:eastAsia="zh-CN"/>
          <w14:textFill>
            <w14:solidFill>
              <w14:schemeClr w14:val="tx1"/>
            </w14:solidFill>
          </w14:textFill>
        </w:rPr>
        <w:t>排放量为5112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17.04</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，经化粪池处理后，排入</w:t>
      </w:r>
      <w:r>
        <w:rPr>
          <w:rFonts w:hint="eastAsia"/>
          <w:color w:val="000000" w:themeColor="text1"/>
          <w:sz w:val="24"/>
          <w:lang w:eastAsia="zh-CN"/>
          <w14:textFill>
            <w14:solidFill>
              <w14:schemeClr w14:val="tx1"/>
            </w14:solidFill>
          </w14:textFill>
        </w:rPr>
        <w:t>长垣市</w:t>
      </w:r>
      <w:r>
        <w:rPr>
          <w:rFonts w:hint="eastAsia"/>
          <w:color w:val="000000" w:themeColor="text1"/>
          <w:sz w:val="24"/>
          <w:lang w:val="en-US" w:eastAsia="zh-CN"/>
          <w14:textFill>
            <w14:solidFill>
              <w14:schemeClr w14:val="tx1"/>
            </w14:solidFill>
          </w14:textFill>
        </w:rPr>
        <w:t>第二</w:t>
      </w:r>
      <w:r>
        <w:rPr>
          <w:rFonts w:hint="eastAsia"/>
          <w:color w:val="000000" w:themeColor="text1"/>
          <w:sz w:val="24"/>
          <w:lang w:eastAsia="zh-CN"/>
          <w14:textFill>
            <w14:solidFill>
              <w14:schemeClr w14:val="tx1"/>
            </w14:solidFill>
          </w14:textFill>
        </w:rPr>
        <w:t>污水处理厂</w:t>
      </w:r>
      <w:r>
        <w:rPr>
          <w:rFonts w:hint="eastAsia"/>
          <w:color w:val="000000" w:themeColor="text1"/>
          <w:sz w:val="24"/>
          <w14:textFill>
            <w14:solidFill>
              <w14:schemeClr w14:val="tx1"/>
            </w14:solidFill>
          </w14:textFill>
        </w:rPr>
        <w:t>进一步处理</w:t>
      </w:r>
      <w:r>
        <w:rPr>
          <w:rFonts w:hint="eastAsia" w:cs="Times New Roman"/>
        </w:rPr>
        <w:t>，满足《污水综合排放标准》（GB8978-1996）表4二级标准</w:t>
      </w:r>
      <w:r>
        <w:rPr>
          <w:rFonts w:hint="eastAsia" w:cs="Times New Roman"/>
          <w:lang w:val="en-US" w:eastAsia="zh-CN"/>
        </w:rPr>
        <w:t>和</w:t>
      </w:r>
      <w:r>
        <w:rPr>
          <w:rFonts w:hint="eastAsia" w:cs="Times New Roman"/>
          <w:lang w:eastAsia="zh-CN"/>
        </w:rPr>
        <w:t>长垣市污水处理厂</w:t>
      </w:r>
      <w:r>
        <w:rPr>
          <w:rFonts w:hint="eastAsia" w:cs="Times New Roman"/>
        </w:rPr>
        <w:t>的收水标准</w:t>
      </w:r>
      <w:r>
        <w:rPr>
          <w:rFonts w:hint="eastAsia" w:cs="Times New Roman"/>
          <w:lang w:eastAsia="zh-CN"/>
        </w:rPr>
        <w:t>。</w:t>
      </w:r>
    </w:p>
    <w:p>
      <w:pPr>
        <w:pStyle w:val="3"/>
        <w:keepNext/>
        <w:keepLines/>
        <w:pageBreakBefore w:val="0"/>
        <w:widowControl w:val="0"/>
        <w:kinsoku/>
        <w:wordWrap/>
        <w:overflowPunct/>
        <w:topLinePunct w:val="0"/>
        <w:autoSpaceDE/>
        <w:autoSpaceDN/>
        <w:bidi w:val="0"/>
        <w:adjustRightInd/>
        <w:snapToGrid/>
        <w:spacing w:beforeLines="0" w:afterLines="0" w:line="460" w:lineRule="exact"/>
        <w:textAlignment w:val="auto"/>
        <w:rPr>
          <w:rFonts w:cs="Times New Roman"/>
          <w:color w:val="FF0000"/>
        </w:rPr>
      </w:pPr>
      <w:bookmarkStart w:id="130" w:name="_Toc932"/>
      <w:bookmarkStart w:id="131" w:name="_Toc989"/>
      <w:bookmarkStart w:id="132" w:name="_Toc486"/>
      <w:bookmarkStart w:id="133" w:name="_Toc11130"/>
      <w:bookmarkStart w:id="134" w:name="_Toc29764"/>
      <w:bookmarkStart w:id="135" w:name="_Toc9732"/>
      <w:bookmarkStart w:id="136" w:name="_Toc4016"/>
      <w:bookmarkStart w:id="137" w:name="_Toc16371"/>
      <w:bookmarkStart w:id="138" w:name="_Toc11854"/>
      <w:r>
        <w:rPr>
          <w:rFonts w:cs="Times New Roman"/>
          <w:szCs w:val="28"/>
        </w:rPr>
        <w:t>3.5 生产工艺</w:t>
      </w:r>
      <w:bookmarkEnd w:id="130"/>
      <w:bookmarkEnd w:id="131"/>
      <w:bookmarkEnd w:id="132"/>
      <w:bookmarkEnd w:id="133"/>
      <w:bookmarkEnd w:id="134"/>
      <w:bookmarkEnd w:id="135"/>
      <w:bookmarkEnd w:id="136"/>
      <w:bookmarkEnd w:id="137"/>
      <w:bookmarkEnd w:id="138"/>
      <w:r>
        <w:rPr>
          <w:rFonts w:ascii="宋体" w:hAnsi="宋体" w:cs="宋体"/>
        </w:rPr>
        <w:t xml:space="preserve"> </w:t>
      </w:r>
    </w:p>
    <w:p>
      <w:pPr>
        <w:pageBreakBefore w:val="0"/>
        <w:widowControl w:val="0"/>
        <w:kinsoku/>
        <w:wordWrap/>
        <w:overflowPunct/>
        <w:topLinePunct w:val="0"/>
        <w:autoSpaceDE/>
        <w:autoSpaceDN/>
        <w:bidi w:val="0"/>
        <w:adjustRightInd/>
        <w:snapToGrid w:val="0"/>
        <w:spacing w:line="460" w:lineRule="exact"/>
        <w:ind w:firstLine="480"/>
        <w:textAlignment w:val="auto"/>
        <w:rPr>
          <w:rFonts w:hint="default" w:eastAsiaTheme="minorEastAsia"/>
          <w:lang w:val="en-US" w:eastAsia="zh-CN"/>
        </w:rPr>
      </w:pPr>
      <w:r>
        <w:rPr>
          <w:bdr w:val="single" w:color="auto" w:sz="4" w:space="0"/>
        </w:rPr>
        <w:drawing>
          <wp:anchor distT="0" distB="0" distL="114935" distR="114935" simplePos="0" relativeHeight="251665408" behindDoc="1" locked="0" layoutInCell="1" allowOverlap="1">
            <wp:simplePos x="0" y="0"/>
            <wp:positionH relativeFrom="column">
              <wp:posOffset>343535</wp:posOffset>
            </wp:positionH>
            <wp:positionV relativeFrom="paragraph">
              <wp:posOffset>579755</wp:posOffset>
            </wp:positionV>
            <wp:extent cx="4521200" cy="4291965"/>
            <wp:effectExtent l="0" t="0" r="12700" b="13335"/>
            <wp:wrapNone/>
            <wp:docPr id="43"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图片1"/>
                    <pic:cNvPicPr>
                      <a:picLocks noChangeAspect="1"/>
                    </pic:cNvPicPr>
                  </pic:nvPicPr>
                  <pic:blipFill>
                    <a:blip r:embed="rId17" cstate="print"/>
                    <a:stretch>
                      <a:fillRect/>
                    </a:stretch>
                  </pic:blipFill>
                  <pic:spPr>
                    <a:xfrm>
                      <a:off x="0" y="0"/>
                      <a:ext cx="4521200" cy="4291965"/>
                    </a:xfrm>
                    <a:prstGeom prst="rect">
                      <a:avLst/>
                    </a:prstGeom>
                    <a:noFill/>
                    <a:ln w="9525">
                      <a:noFill/>
                    </a:ln>
                  </pic:spPr>
                </pic:pic>
              </a:graphicData>
            </a:graphic>
          </wp:anchor>
        </w:drawing>
      </w:r>
      <w:r>
        <w:rPr>
          <w:rFonts w:hint="eastAsia"/>
          <w:lang w:val="en-US" w:eastAsia="zh-CN"/>
        </w:rPr>
        <w:t>本项目实际建设过程中，立体车库、电动葫芦及配件不再生产，起重机生产工艺见下图所示。</w:t>
      </w: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bidi w:val="0"/>
        <w:rPr>
          <w:rFonts w:ascii="Times New Roman" w:hAnsi="Times New Roman" w:eastAsiaTheme="minorEastAsia" w:cstheme="minorBidi"/>
          <w:kern w:val="2"/>
          <w:sz w:val="24"/>
          <w:szCs w:val="24"/>
          <w:lang w:val="en-US" w:eastAsia="zh-CN" w:bidi="ar-SA"/>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lang w:val="en-US" w:eastAsia="zh-CN"/>
        </w:rPr>
      </w:pPr>
      <w:r>
        <w:rPr>
          <w:rFonts w:hint="default"/>
          <w:b/>
          <w:bCs/>
          <w:lang w:val="en-US" w:eastAsia="zh-CN"/>
        </w:rPr>
        <w:t xml:space="preserve">图1 </w:t>
      </w:r>
      <w:r>
        <w:rPr>
          <w:rFonts w:hint="eastAsia"/>
          <w:b/>
          <w:bCs/>
          <w:lang w:val="en-US" w:eastAsia="zh-CN"/>
        </w:rPr>
        <w:t xml:space="preserve">   起重机</w:t>
      </w:r>
      <w:r>
        <w:rPr>
          <w:rFonts w:hint="default"/>
          <w:b/>
          <w:bCs/>
        </w:rPr>
        <w:t>生产工艺及产污环节图</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bCs w:val="0"/>
        </w:rPr>
      </w:pPr>
      <w:r>
        <w:rPr>
          <w:rFonts w:hint="eastAsia"/>
          <w:b/>
          <w:bCs w:val="0"/>
        </w:rPr>
        <w:t>生产工艺过程简述：</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钢材经抛丸机预处理后切割下料，焊接成型后的半成品再经抛丸机处理，经检测和焊接，然后装配。外购的毛坯件等经过机械加工后通过热处理调质、再进行精细加工、检验，然后与外购的零部件一起装配，再和焊接成型的金属结构件一起总装，最后经过涂装后获得产品。</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szCs w:val="28"/>
        </w:rPr>
      </w:pPr>
      <w:bookmarkStart w:id="139" w:name="_Toc355"/>
      <w:bookmarkStart w:id="140" w:name="_Toc32694"/>
      <w:bookmarkStart w:id="141" w:name="_Toc4210"/>
      <w:bookmarkStart w:id="142" w:name="_Toc12162"/>
      <w:bookmarkStart w:id="143" w:name="_Toc15488"/>
      <w:bookmarkStart w:id="144" w:name="_Toc12689"/>
      <w:bookmarkStart w:id="145" w:name="_Toc16621"/>
      <w:bookmarkStart w:id="146" w:name="_Toc6714"/>
      <w:bookmarkStart w:id="147" w:name="_Toc30831"/>
      <w:r>
        <w:rPr>
          <w:rFonts w:cs="Times New Roman"/>
          <w:szCs w:val="28"/>
        </w:rPr>
        <w:t>3.6 项目变动情况</w:t>
      </w:r>
      <w:bookmarkEnd w:id="139"/>
      <w:bookmarkEnd w:id="140"/>
      <w:bookmarkEnd w:id="141"/>
      <w:bookmarkEnd w:id="142"/>
      <w:bookmarkEnd w:id="143"/>
      <w:bookmarkEnd w:id="144"/>
      <w:bookmarkEnd w:id="145"/>
      <w:bookmarkEnd w:id="146"/>
      <w:bookmarkEnd w:id="147"/>
    </w:p>
    <w:p>
      <w:pPr>
        <w:pageBreakBefore w:val="0"/>
        <w:kinsoku/>
        <w:wordWrap/>
        <w:overflowPunct/>
        <w:topLinePunct w:val="0"/>
        <w:autoSpaceDE/>
        <w:autoSpaceDN/>
        <w:bidi w:val="0"/>
        <w:spacing w:line="520" w:lineRule="exact"/>
        <w:ind w:firstLine="480"/>
        <w:textAlignment w:val="auto"/>
        <w:rPr>
          <w:rFonts w:eastAsia="宋体" w:cs="Times New Roman"/>
          <w:color w:val="auto"/>
        </w:rPr>
      </w:pPr>
      <w:bookmarkStart w:id="148" w:name="_Toc32725"/>
      <w:bookmarkStart w:id="149" w:name="_Toc15714"/>
      <w:bookmarkStart w:id="150" w:name="_Toc11374"/>
      <w:bookmarkStart w:id="151" w:name="_Toc22853"/>
      <w:bookmarkStart w:id="152" w:name="_Toc1048"/>
      <w:bookmarkStart w:id="153" w:name="_Toc28587"/>
      <w:bookmarkStart w:id="154" w:name="_Toc25241"/>
      <w:bookmarkStart w:id="155" w:name="_Toc15346"/>
      <w:bookmarkStart w:id="156" w:name="_Toc22050"/>
      <w:r>
        <w:rPr>
          <w:rFonts w:hint="eastAsia" w:eastAsia="宋体" w:cs="Times New Roman"/>
          <w:color w:val="auto"/>
        </w:rPr>
        <w:t>对照</w:t>
      </w:r>
      <w:r>
        <w:rPr>
          <w:rFonts w:eastAsia="宋体" w:cs="Times New Roman"/>
          <w:color w:val="auto"/>
        </w:rPr>
        <w:t>《</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w:t>
      </w:r>
      <w:r>
        <w:rPr>
          <w:rFonts w:hint="eastAsia" w:eastAsia="宋体" w:cs="Times New Roman"/>
          <w:color w:val="auto"/>
        </w:rPr>
        <w:t>及</w:t>
      </w:r>
      <w:r>
        <w:rPr>
          <w:rFonts w:hint="eastAsia" w:eastAsia="宋体" w:cs="Times New Roman"/>
          <w:color w:val="auto"/>
          <w:lang w:val="en-US" w:eastAsia="zh-CN"/>
        </w:rPr>
        <w:t>长垣县环境保护局</w:t>
      </w:r>
      <w:r>
        <w:rPr>
          <w:rFonts w:eastAsia="宋体" w:cs="Times New Roman"/>
          <w:color w:val="auto"/>
        </w:rPr>
        <w:t>关于《</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》的批复</w:t>
      </w:r>
      <w:r>
        <w:rPr>
          <w:rFonts w:hint="eastAsia" w:eastAsia="宋体" w:cs="Times New Roman"/>
          <w:color w:val="auto"/>
        </w:rPr>
        <w:t>。</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项目在实际建设中与环评相比，变动如下：</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1</w:t>
      </w:r>
      <w:r>
        <w:rPr>
          <w:rFonts w:hint="eastAsia" w:eastAsia="宋体" w:cs="Times New Roman"/>
          <w:color w:val="auto"/>
          <w:lang w:eastAsia="zh-CN"/>
        </w:rPr>
        <w:t>）</w:t>
      </w:r>
      <w:r>
        <w:rPr>
          <w:rFonts w:hint="eastAsia" w:eastAsia="宋体" w:cs="Times New Roman"/>
          <w:color w:val="auto"/>
          <w:lang w:val="en-US" w:eastAsia="zh-CN"/>
        </w:rPr>
        <w:t>厂房变动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单梁车间不设置葫芦组装及外罩焊接区，设置两个涂装房；双梁车间设置2个双梁涂装房；新型葫芦装配车间租赁给长垣市玖伍电缆有限公司使用，不在本次项目验收范围之内；喷涂作业区不再建设，涂装工序共设置6个涂装房，分别位于单梁车间、双梁车间及双梁车间北侧，包括端梁涂装房、单梁涂装房、小件涂装房、预处理涂装房、双梁涂装房2个。</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2</w:t>
      </w:r>
      <w:r>
        <w:rPr>
          <w:rFonts w:hint="eastAsia" w:eastAsia="宋体" w:cs="Times New Roman"/>
          <w:color w:val="auto"/>
          <w:lang w:eastAsia="zh-CN"/>
        </w:rPr>
        <w:t>）</w:t>
      </w:r>
      <w:r>
        <w:rPr>
          <w:rFonts w:hint="eastAsia" w:eastAsia="宋体" w:cs="Times New Roman"/>
          <w:color w:val="auto"/>
          <w:lang w:val="en-US" w:eastAsia="zh-CN"/>
        </w:rPr>
        <w:t>产品方案</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本项目实际建设过程不再生产立体车库、电动葫芦及配件，故原辅材料用量相应减少。</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3</w:t>
      </w:r>
      <w:r>
        <w:rPr>
          <w:rFonts w:hint="eastAsia" w:eastAsia="宋体" w:cs="Times New Roman"/>
          <w:color w:val="auto"/>
          <w:lang w:eastAsia="zh-CN"/>
        </w:rPr>
        <w:t>）</w:t>
      </w:r>
      <w:r>
        <w:rPr>
          <w:rFonts w:hint="eastAsia" w:eastAsia="宋体" w:cs="Times New Roman"/>
          <w:color w:val="auto"/>
          <w:lang w:val="en-US" w:eastAsia="zh-CN"/>
        </w:rPr>
        <w:t>设备变动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本项目实际建设过程中生产设备变动情况见表3-4，主要变动为机加工、起重设备增加或减少，不会影响本项目最终生产产能，故不属于重大变动。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w:t>
      </w:r>
      <w:r>
        <w:rPr>
          <w:rFonts w:hint="eastAsia" w:eastAsia="宋体" w:cs="Times New Roman"/>
          <w:color w:val="auto"/>
          <w:lang w:val="en-US" w:eastAsia="zh-CN"/>
        </w:rPr>
        <w:t>4</w:t>
      </w:r>
      <w:r>
        <w:rPr>
          <w:rFonts w:hint="eastAsia" w:eastAsia="宋体" w:cs="Times New Roman"/>
          <w:color w:val="auto"/>
        </w:rPr>
        <w:t>）环保设施：</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抛丸工序：环评中设置4台抛丸机配备4台袋式除尘器，废气经处理后由1根15m高排气筒排放，实际建设过程设置1台抛丸机配备1台袋式除尘器，废气经处理后由1根15m高排气筒排放。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焊接工序：环评中单梁车间及双梁车间共设置3套滤筒除尘器，废气经处理后经15m高排气筒排放，实际建设过程单梁车间设置15套滤筒除尘器处理后由1根15m高排气筒排放，双梁车间设置8套滤筒除尘器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切割工序：环评中双梁车间设置2套切割除尘系统（滤筒除尘器），废气经处理后由1根15m高排气筒排放，实际建设过程双梁车间设置5台滤筒除尘器，废气经处理后由5根15m高排气筒排放。</w:t>
      </w:r>
    </w:p>
    <w:p>
      <w:pPr>
        <w:keepNext w:val="0"/>
        <w:keepLines w:val="0"/>
        <w:pageBreakBefore w:val="0"/>
        <w:widowControl/>
        <w:kinsoku/>
        <w:wordWrap/>
        <w:overflowPunct/>
        <w:topLinePunct w:val="0"/>
        <w:autoSpaceDE/>
        <w:autoSpaceDN/>
        <w:bidi w:val="0"/>
        <w:adjustRightInd w:val="0"/>
        <w:snapToGrid w:val="0"/>
        <w:spacing w:line="48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涂装工序：环评中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15个未配套建设低温催化燃烧装置的喷漆房产生的废活性炭定期送往1#、4#和5#喷漆房废气处理系统进行再生处理；实际建设过程共设置6个涂装房，涂装废气分别经5套干式过滤棉+活性炭吸附+脱附催化燃烧装置处理后通过5根15m高排气筒排放。</w:t>
      </w:r>
    </w:p>
    <w:p>
      <w:pPr>
        <w:keepNext w:val="0"/>
        <w:keepLines w:val="0"/>
        <w:pageBreakBefore w:val="0"/>
        <w:kinsoku/>
        <w:wordWrap/>
        <w:overflowPunct/>
        <w:topLinePunct w:val="0"/>
        <w:autoSpaceDE/>
        <w:autoSpaceDN/>
        <w:bidi w:val="0"/>
        <w:spacing w:line="480" w:lineRule="exact"/>
        <w:textAlignment w:val="auto"/>
        <w:rPr>
          <w:rFonts w:hint="eastAsia"/>
        </w:rPr>
      </w:pPr>
      <w:r>
        <w:rPr>
          <w:rFonts w:hint="eastAsia"/>
          <w:lang w:val="en-US" w:eastAsia="zh-CN"/>
        </w:rPr>
        <w:t>根据以上变动可知， 本项目建设过程发生变动情况均优于环评，不涉及重大变动情况，</w:t>
      </w:r>
      <w:r>
        <w:rPr>
          <w:rFonts w:hint="eastAsia"/>
        </w:rPr>
        <w:t>满足</w:t>
      </w:r>
      <w:r>
        <w:t>《关于印发环评管理中部分行业建设项目重大变动清单的通知》（环境保护部办公厅文件，环办[2015]52号）</w:t>
      </w:r>
      <w:r>
        <w:rPr>
          <w:rFonts w:hint="eastAsia"/>
        </w:rPr>
        <w:t>、</w:t>
      </w:r>
      <w:r>
        <w:t>《环境影响评价法》</w:t>
      </w:r>
      <w:r>
        <w:rPr>
          <w:rFonts w:hint="eastAsia"/>
        </w:rPr>
        <w:t>及</w:t>
      </w:r>
      <w:r>
        <w:t>《建设项目环境保护管理条例》有关规定</w:t>
      </w:r>
      <w:r>
        <w:rPr>
          <w:rFonts w:hint="eastAsia"/>
        </w:rPr>
        <w:t>，可</w:t>
      </w:r>
      <w:r>
        <w:t>纳入竣工环境保护验收管理</w:t>
      </w:r>
      <w:r>
        <w:rPr>
          <w:rFonts w:hint="eastAsia"/>
        </w:rPr>
        <w:t>。</w:t>
      </w:r>
    </w:p>
    <w:p>
      <w:pPr>
        <w:pStyle w:val="2"/>
        <w:keepNext/>
        <w:keepLines/>
        <w:pageBreakBefore w:val="0"/>
        <w:widowControl w:val="0"/>
        <w:numPr>
          <w:ilvl w:val="0"/>
          <w:numId w:val="1"/>
        </w:numPr>
        <w:kinsoku/>
        <w:wordWrap/>
        <w:overflowPunct/>
        <w:topLinePunct w:val="0"/>
        <w:autoSpaceDE/>
        <w:autoSpaceDN/>
        <w:bidi w:val="0"/>
        <w:adjustRightInd/>
        <w:snapToGrid/>
        <w:spacing w:beforeLines="0" w:afterLines="0" w:line="520" w:lineRule="exact"/>
        <w:textAlignment w:val="auto"/>
        <w:rPr>
          <w:color w:val="000000" w:themeColor="text1"/>
          <w14:textFill>
            <w14:solidFill>
              <w14:schemeClr w14:val="tx1"/>
            </w14:solidFill>
          </w14:textFill>
        </w:rPr>
      </w:pPr>
      <w:bookmarkStart w:id="157" w:name="_Toc4307"/>
      <w:bookmarkStart w:id="158" w:name="_Toc757"/>
      <w:bookmarkStart w:id="159" w:name="_Toc5252"/>
      <w:r>
        <w:rPr>
          <w:color w:val="000000" w:themeColor="text1"/>
          <w14:textFill>
            <w14:solidFill>
              <w14:schemeClr w14:val="tx1"/>
            </w14:solidFill>
          </w14:textFill>
        </w:rPr>
        <w:t>环境保护措施</w:t>
      </w:r>
      <w:bookmarkEnd w:id="148"/>
      <w:bookmarkEnd w:id="149"/>
      <w:bookmarkEnd w:id="150"/>
      <w:bookmarkEnd w:id="151"/>
      <w:bookmarkEnd w:id="152"/>
      <w:bookmarkEnd w:id="153"/>
      <w:bookmarkEnd w:id="154"/>
      <w:bookmarkEnd w:id="155"/>
      <w:bookmarkEnd w:id="156"/>
      <w:bookmarkEnd w:id="157"/>
      <w:bookmarkEnd w:id="158"/>
      <w:bookmarkEnd w:id="159"/>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color w:val="000000" w:themeColor="text1"/>
          <w14:textFill>
            <w14:solidFill>
              <w14:schemeClr w14:val="tx1"/>
            </w14:solidFill>
          </w14:textFill>
        </w:rPr>
      </w:pPr>
      <w:bookmarkStart w:id="160" w:name="_Toc16098"/>
      <w:bookmarkStart w:id="161" w:name="_Toc29276"/>
      <w:bookmarkStart w:id="162" w:name="_Toc15801"/>
      <w:bookmarkStart w:id="163" w:name="_Toc16433"/>
      <w:bookmarkStart w:id="164" w:name="_Toc22961"/>
      <w:bookmarkStart w:id="165" w:name="_Toc30285"/>
      <w:bookmarkStart w:id="166" w:name="_Toc16315"/>
      <w:bookmarkStart w:id="167" w:name="_Toc9823"/>
      <w:bookmarkStart w:id="168" w:name="_Toc29553"/>
      <w:bookmarkStart w:id="169" w:name="_Toc12499"/>
      <w:bookmarkStart w:id="170" w:name="_Toc21716"/>
      <w:bookmarkStart w:id="171" w:name="_Toc9338"/>
      <w:r>
        <w:rPr>
          <w:rFonts w:cs="Times New Roman"/>
          <w:color w:val="000000" w:themeColor="text1"/>
          <w14:textFill>
            <w14:solidFill>
              <w14:schemeClr w14:val="tx1"/>
            </w14:solidFill>
          </w14:textFill>
        </w:rPr>
        <w:t>4.1 污染物治理设施</w:t>
      </w:r>
      <w:bookmarkEnd w:id="160"/>
      <w:bookmarkEnd w:id="161"/>
      <w:bookmarkEnd w:id="162"/>
      <w:bookmarkEnd w:id="163"/>
      <w:bookmarkEnd w:id="164"/>
      <w:bookmarkEnd w:id="165"/>
      <w:bookmarkEnd w:id="166"/>
      <w:bookmarkEnd w:id="167"/>
      <w:bookmarkEnd w:id="168"/>
      <w:bookmarkEnd w:id="169"/>
      <w:bookmarkEnd w:id="170"/>
      <w:bookmarkEnd w:id="171"/>
    </w:p>
    <w:p>
      <w:pPr>
        <w:pStyle w:val="4"/>
        <w:keepNext/>
        <w:keepLines/>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172" w:name="_Toc16730"/>
      <w:bookmarkStart w:id="173" w:name="_Toc32509"/>
      <w:bookmarkStart w:id="174" w:name="_Toc16791"/>
      <w:bookmarkStart w:id="175" w:name="_Toc6217"/>
      <w:bookmarkStart w:id="176" w:name="_Toc31518"/>
      <w:bookmarkStart w:id="177" w:name="_Toc10339"/>
      <w:bookmarkStart w:id="178" w:name="_Toc7012"/>
      <w:bookmarkStart w:id="179" w:name="_Toc19555"/>
      <w:bookmarkStart w:id="180" w:name="_Toc17413"/>
      <w:bookmarkStart w:id="181" w:name="_Toc27339"/>
      <w:bookmarkStart w:id="182" w:name="_Toc30738"/>
      <w:r>
        <w:rPr>
          <w:rFonts w:cs="Times New Roman"/>
          <w:szCs w:val="28"/>
        </w:rPr>
        <w:t>4.1.1 废水</w:t>
      </w:r>
      <w:bookmarkEnd w:id="172"/>
      <w:bookmarkEnd w:id="173"/>
      <w:bookmarkEnd w:id="174"/>
      <w:bookmarkEnd w:id="175"/>
      <w:bookmarkEnd w:id="176"/>
      <w:bookmarkEnd w:id="177"/>
      <w:bookmarkEnd w:id="178"/>
      <w:bookmarkEnd w:id="179"/>
      <w:bookmarkEnd w:id="180"/>
      <w:bookmarkEnd w:id="181"/>
      <w:bookmarkEnd w:id="182"/>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bCs/>
        </w:rPr>
      </w:pPr>
      <w:bookmarkStart w:id="183" w:name="_Toc21255"/>
      <w:bookmarkStart w:id="184" w:name="_Toc25731"/>
      <w:bookmarkStart w:id="185" w:name="_Toc29734"/>
      <w:bookmarkStart w:id="186" w:name="_Toc1168"/>
      <w:bookmarkStart w:id="187" w:name="_Toc25975"/>
      <w:bookmarkStart w:id="188" w:name="_Toc2120"/>
      <w:r>
        <w:rPr>
          <w:rFonts w:hint="eastAsia"/>
          <w:color w:val="000000" w:themeColor="text1"/>
          <w:sz w:val="24"/>
          <w14:textFill>
            <w14:solidFill>
              <w14:schemeClr w14:val="tx1"/>
            </w14:solidFill>
          </w14:textFill>
        </w:rPr>
        <w:t>本项目用水主要为</w:t>
      </w:r>
      <w:r>
        <w:rPr>
          <w:rFonts w:hint="eastAsia"/>
          <w:color w:val="000000" w:themeColor="text1"/>
          <w:sz w:val="24"/>
          <w:lang w:val="en-US" w:eastAsia="zh-CN"/>
          <w14:textFill>
            <w14:solidFill>
              <w14:schemeClr w14:val="tx1"/>
            </w14:solidFill>
          </w14:textFill>
        </w:rPr>
        <w:t>生活</w:t>
      </w:r>
      <w:r>
        <w:rPr>
          <w:rFonts w:hint="eastAsia"/>
          <w:color w:val="000000" w:themeColor="text1"/>
          <w:sz w:val="24"/>
          <w14:textFill>
            <w14:solidFill>
              <w14:schemeClr w14:val="tx1"/>
            </w14:solidFill>
          </w14:textFill>
        </w:rPr>
        <w:t>用水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1200</w:t>
      </w:r>
      <w:r>
        <w:rPr>
          <w:rFonts w:hint="eastAsia"/>
          <w:color w:val="000000" w:themeColor="text1"/>
          <w:sz w:val="24"/>
          <w14:textFill>
            <w14:solidFill>
              <w14:schemeClr w14:val="tx1"/>
            </w14:solidFill>
          </w14:textFill>
        </w:rPr>
        <w:t>人，年生产天数300天，职工在厂区内食宿。</w:t>
      </w:r>
      <w:r>
        <w:rPr>
          <w:rFonts w:hint="eastAsia"/>
          <w:color w:val="000000" w:themeColor="text1"/>
          <w:sz w:val="24"/>
          <w:lang w:val="en-US" w:eastAsia="zh-CN"/>
          <w14:textFill>
            <w14:solidFill>
              <w14:schemeClr w14:val="tx1"/>
            </w14:solidFill>
          </w14:textFill>
        </w:rPr>
        <w:t>职工生活污水采用隔油池+化粪池处理后，排入长垣市第二污水处理厂进一步处理，生活污水排放量为</w:t>
      </w:r>
      <w:r>
        <w:rPr>
          <w:rFonts w:hint="eastAsia"/>
          <w:lang w:val="en-US" w:eastAsia="zh-CN"/>
        </w:rPr>
        <w:t>17.04</w:t>
      </w:r>
      <w:r>
        <w:rPr>
          <w:rFonts w:eastAsiaTheme="minorEastAsia"/>
        </w:rPr>
        <w:t>m</w:t>
      </w:r>
      <w:r>
        <w:rPr>
          <w:rFonts w:eastAsiaTheme="minorEastAsia"/>
          <w:vertAlign w:val="superscript"/>
        </w:rPr>
        <w:t>3</w:t>
      </w:r>
      <w:r>
        <w:rPr>
          <w:rFonts w:eastAsiaTheme="minorEastAsia"/>
        </w:rPr>
        <w:t>/d（</w:t>
      </w:r>
      <w:r>
        <w:rPr>
          <w:rFonts w:hint="eastAsia"/>
          <w:lang w:val="en-US" w:eastAsia="zh-CN"/>
        </w:rPr>
        <w:t>5112</w:t>
      </w:r>
      <w:r>
        <w:rPr>
          <w:rFonts w:eastAsiaTheme="minorEastAsia"/>
        </w:rPr>
        <w:t>m</w:t>
      </w:r>
      <w:r>
        <w:rPr>
          <w:rFonts w:eastAsiaTheme="minorEastAsia"/>
          <w:vertAlign w:val="superscript"/>
        </w:rPr>
        <w:t>3</w:t>
      </w:r>
      <w:r>
        <w:rPr>
          <w:rFonts w:eastAsiaTheme="minorEastAsia"/>
        </w:rPr>
        <w:t>/a）</w:t>
      </w:r>
      <w:r>
        <w:rPr>
          <w:rFonts w:hint="eastAsia"/>
          <w:lang w:eastAsia="zh-CN"/>
        </w:rPr>
        <w:t>。</w:t>
      </w:r>
      <w:r>
        <w:rPr>
          <w:rFonts w:hint="eastAsia"/>
          <w:color w:val="000000" w:themeColor="text1"/>
          <w:sz w:val="24"/>
          <w:lang w:val="en-US" w:eastAsia="zh-CN"/>
          <w14:textFill>
            <w14:solidFill>
              <w14:schemeClr w14:val="tx1"/>
            </w14:solidFill>
          </w14:textFill>
        </w:rPr>
        <w:t xml:space="preserve"> </w:t>
      </w:r>
    </w:p>
    <w:bookmarkEnd w:id="183"/>
    <w:bookmarkEnd w:id="184"/>
    <w:bookmarkEnd w:id="185"/>
    <w:bookmarkEnd w:id="186"/>
    <w:bookmarkEnd w:id="187"/>
    <w:p>
      <w:pPr>
        <w:pStyle w:val="4"/>
        <w:keepNext/>
        <w:keepLines/>
        <w:pageBreakBefore w:val="0"/>
        <w:widowControl w:val="0"/>
        <w:kinsoku/>
        <w:wordWrap/>
        <w:overflowPunct/>
        <w:topLinePunct w:val="0"/>
        <w:autoSpaceDE/>
        <w:autoSpaceDN/>
        <w:bidi w:val="0"/>
        <w:adjustRightInd/>
        <w:snapToGrid/>
        <w:spacing w:line="520" w:lineRule="exact"/>
        <w:textAlignment w:val="auto"/>
        <w:rPr>
          <w:rFonts w:cs="Times New Roman"/>
        </w:rPr>
      </w:pPr>
      <w:bookmarkStart w:id="189" w:name="_Toc8333"/>
      <w:bookmarkStart w:id="190" w:name="_Toc14962"/>
      <w:bookmarkStart w:id="191" w:name="_Toc30868"/>
      <w:bookmarkStart w:id="192" w:name="_Toc17689"/>
      <w:bookmarkStart w:id="193" w:name="_Toc2833"/>
      <w:bookmarkStart w:id="194" w:name="_Toc11141"/>
      <w:bookmarkStart w:id="195" w:name="_Toc11979"/>
      <w:bookmarkStart w:id="196" w:name="_Toc13773"/>
      <w:r>
        <w:rPr>
          <w:rFonts w:cs="Times New Roman"/>
        </w:rPr>
        <w:t>4.1.2 废气</w:t>
      </w:r>
      <w:bookmarkEnd w:id="188"/>
      <w:bookmarkEnd w:id="189"/>
      <w:bookmarkEnd w:id="190"/>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520" w:lineRule="exact"/>
        <w:textAlignment w:val="auto"/>
      </w:pPr>
      <w:r>
        <w:rPr>
          <w:rFonts w:hint="eastAsia"/>
        </w:rPr>
        <w:t>本项目废气主要产生在：</w:t>
      </w:r>
      <w:r>
        <w:rPr>
          <w:rFonts w:hint="eastAsia"/>
          <w:lang w:val="en-US" w:eastAsia="zh-CN"/>
        </w:rPr>
        <w:t>焊接工序、涂装工序、抛丸工序、下料工序、食堂油烟</w:t>
      </w:r>
      <w:r>
        <w:rPr>
          <w:rFonts w:hint="eastAsia"/>
        </w:rPr>
        <w:t>。废气污染物有：颗粒物</w:t>
      </w:r>
      <w:r>
        <w:rPr>
          <w:rFonts w:hint="eastAsia"/>
          <w:lang w:eastAsia="zh-CN"/>
        </w:rPr>
        <w:t>、</w:t>
      </w:r>
      <w:r>
        <w:rPr>
          <w:rFonts w:hint="eastAsia"/>
          <w:lang w:val="en-US" w:eastAsia="zh-CN"/>
        </w:rPr>
        <w:t>非甲烷总烃、甲苯、二甲苯、油烟</w:t>
      </w:r>
      <w:r>
        <w:t>。废气治理措施见下表。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rPr>
      </w:pPr>
      <w:r>
        <w:rPr>
          <w:b/>
          <w:bCs/>
        </w:rPr>
        <w:t>表4-</w:t>
      </w:r>
      <w:r>
        <w:rPr>
          <w:rFonts w:hint="eastAsia"/>
          <w:b/>
          <w:bCs/>
        </w:rPr>
        <w:t>1</w:t>
      </w:r>
      <w:r>
        <w:rPr>
          <w:b/>
          <w:bCs/>
        </w:rPr>
        <w:t xml:space="preserve">  本项目工程废气产排放情况一览表</w:t>
      </w:r>
    </w:p>
    <w:tbl>
      <w:tblPr>
        <w:tblStyle w:val="2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001"/>
        <w:gridCol w:w="1002"/>
        <w:gridCol w:w="1879"/>
        <w:gridCol w:w="3212"/>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pPr>
              <w:snapToGrid w:val="0"/>
              <w:spacing w:line="240" w:lineRule="auto"/>
              <w:ind w:firstLine="0" w:firstLineChars="0"/>
              <w:jc w:val="center"/>
              <w:rPr>
                <w:b/>
                <w:bCs/>
                <w:sz w:val="21"/>
                <w:szCs w:val="21"/>
              </w:rPr>
            </w:pPr>
            <w:bookmarkStart w:id="197" w:name="_Toc16203"/>
            <w:bookmarkStart w:id="198" w:name="_Toc25683"/>
            <w:bookmarkStart w:id="199" w:name="_Toc906"/>
            <w:bookmarkStart w:id="200" w:name="_Toc19894"/>
            <w:bookmarkStart w:id="201" w:name="_Toc26355"/>
            <w:bookmarkStart w:id="202" w:name="_Toc1687"/>
            <w:r>
              <w:rPr>
                <w:b/>
                <w:bCs/>
                <w:sz w:val="21"/>
                <w:szCs w:val="21"/>
              </w:rPr>
              <w:t>排放</w:t>
            </w:r>
          </w:p>
          <w:p>
            <w:pPr>
              <w:snapToGrid w:val="0"/>
              <w:spacing w:line="240" w:lineRule="auto"/>
              <w:ind w:firstLine="0" w:firstLineChars="0"/>
              <w:jc w:val="center"/>
              <w:rPr>
                <w:b/>
                <w:bCs/>
                <w:sz w:val="21"/>
                <w:szCs w:val="21"/>
              </w:rPr>
            </w:pPr>
            <w:r>
              <w:rPr>
                <w:b/>
                <w:bCs/>
                <w:sz w:val="21"/>
                <w:szCs w:val="21"/>
              </w:rPr>
              <w:t>形式</w:t>
            </w:r>
          </w:p>
        </w:tc>
        <w:tc>
          <w:tcPr>
            <w:tcW w:w="2003" w:type="dxa"/>
            <w:gridSpan w:val="2"/>
            <w:vAlign w:val="center"/>
          </w:tcPr>
          <w:p>
            <w:pPr>
              <w:snapToGrid w:val="0"/>
              <w:spacing w:line="240" w:lineRule="auto"/>
              <w:ind w:firstLine="0" w:firstLineChars="0"/>
              <w:jc w:val="center"/>
              <w:rPr>
                <w:b/>
                <w:bCs/>
                <w:sz w:val="21"/>
                <w:szCs w:val="21"/>
              </w:rPr>
            </w:pPr>
            <w:r>
              <w:rPr>
                <w:b/>
                <w:bCs/>
                <w:sz w:val="21"/>
                <w:szCs w:val="21"/>
              </w:rPr>
              <w:t>来源</w:t>
            </w:r>
          </w:p>
        </w:tc>
        <w:tc>
          <w:tcPr>
            <w:tcW w:w="1879" w:type="dxa"/>
            <w:vAlign w:val="center"/>
          </w:tcPr>
          <w:p>
            <w:pPr>
              <w:snapToGrid w:val="0"/>
              <w:spacing w:line="240" w:lineRule="auto"/>
              <w:ind w:firstLine="0" w:firstLineChars="0"/>
              <w:jc w:val="center"/>
              <w:rPr>
                <w:b/>
                <w:bCs/>
                <w:sz w:val="21"/>
                <w:szCs w:val="21"/>
              </w:rPr>
            </w:pPr>
            <w:r>
              <w:rPr>
                <w:b/>
                <w:bCs/>
                <w:sz w:val="21"/>
                <w:szCs w:val="21"/>
              </w:rPr>
              <w:t>污染物</w:t>
            </w:r>
          </w:p>
        </w:tc>
        <w:tc>
          <w:tcPr>
            <w:tcW w:w="3212" w:type="dxa"/>
            <w:vAlign w:val="center"/>
          </w:tcPr>
          <w:p>
            <w:pPr>
              <w:snapToGrid w:val="0"/>
              <w:spacing w:line="240" w:lineRule="auto"/>
              <w:ind w:firstLine="0" w:firstLineChars="0"/>
              <w:jc w:val="center"/>
              <w:rPr>
                <w:b/>
                <w:bCs/>
                <w:sz w:val="21"/>
                <w:szCs w:val="21"/>
              </w:rPr>
            </w:pPr>
            <w:r>
              <w:rPr>
                <w:b/>
                <w:bCs/>
                <w:sz w:val="21"/>
                <w:szCs w:val="21"/>
              </w:rPr>
              <w:t>治理措施</w:t>
            </w:r>
          </w:p>
        </w:tc>
        <w:tc>
          <w:tcPr>
            <w:tcW w:w="789" w:type="dxa"/>
            <w:vAlign w:val="center"/>
          </w:tcPr>
          <w:p>
            <w:pPr>
              <w:snapToGrid w:val="0"/>
              <w:spacing w:line="240" w:lineRule="auto"/>
              <w:ind w:firstLine="0" w:firstLineChars="0"/>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restart"/>
            <w:vAlign w:val="center"/>
          </w:tcPr>
          <w:p>
            <w:pPr>
              <w:snapToGrid w:val="0"/>
              <w:spacing w:line="240" w:lineRule="auto"/>
              <w:ind w:firstLine="0" w:firstLineChars="0"/>
              <w:jc w:val="center"/>
              <w:rPr>
                <w:sz w:val="21"/>
                <w:szCs w:val="21"/>
              </w:rPr>
            </w:pPr>
            <w:r>
              <w:rPr>
                <w:sz w:val="21"/>
                <w:szCs w:val="21"/>
              </w:rPr>
              <w:t>有组织</w:t>
            </w:r>
          </w:p>
        </w:tc>
        <w:tc>
          <w:tcPr>
            <w:tcW w:w="1001" w:type="dxa"/>
            <w:vMerge w:val="restart"/>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单梁</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车间</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焊接</w:t>
            </w:r>
          </w:p>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工序</w:t>
            </w:r>
          </w:p>
        </w:tc>
        <w:tc>
          <w:tcPr>
            <w:tcW w:w="1879" w:type="dxa"/>
            <w:vAlign w:val="center"/>
          </w:tcPr>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颗粒物</w:t>
            </w:r>
          </w:p>
        </w:tc>
        <w:tc>
          <w:tcPr>
            <w:tcW w:w="321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集气装置</w:t>
            </w:r>
            <w:r>
              <w:rPr>
                <w:rFonts w:hint="default"/>
                <w:sz w:val="21"/>
                <w:szCs w:val="21"/>
                <w:lang w:val="en-US" w:eastAsia="zh-CN"/>
              </w:rPr>
              <w:t>+</w:t>
            </w:r>
            <w:r>
              <w:rPr>
                <w:rFonts w:hint="eastAsia"/>
                <w:sz w:val="21"/>
                <w:szCs w:val="21"/>
                <w:lang w:val="en-US" w:eastAsia="zh-CN"/>
              </w:rPr>
              <w:t>滤筒除尘器</w:t>
            </w:r>
          </w:p>
          <w:p>
            <w:pPr>
              <w:snapToGrid w:val="0"/>
              <w:spacing w:line="240" w:lineRule="auto"/>
              <w:ind w:firstLine="0" w:firstLineChars="0"/>
              <w:jc w:val="center"/>
              <w:rPr>
                <w:sz w:val="21"/>
                <w:szCs w:val="21"/>
              </w:rPr>
            </w:pP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eastAsia" w:eastAsiaTheme="minorEastAsia"/>
                <w:sz w:val="21"/>
                <w:szCs w:val="21"/>
                <w:lang w:eastAsia="zh-CN"/>
              </w:rPr>
            </w:pPr>
            <w:r>
              <w:rPr>
                <w:rFonts w:hint="eastAsia"/>
                <w:sz w:val="21"/>
                <w:szCs w:val="21"/>
                <w:lang w:val="en-US" w:eastAsia="zh-CN"/>
              </w:rPr>
              <w:t>15套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端梁涂装房</w:t>
            </w:r>
          </w:p>
        </w:tc>
        <w:tc>
          <w:tcPr>
            <w:tcW w:w="1879" w:type="dxa"/>
            <w:vAlign w:val="center"/>
          </w:tcPr>
          <w:p>
            <w:pPr>
              <w:snapToGrid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val="en-US" w:eastAsia="zh-CN"/>
              </w:rPr>
              <w:t>非甲烷总烃、苯、甲苯、二甲苯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单梁涂装房</w:t>
            </w:r>
          </w:p>
        </w:tc>
        <w:tc>
          <w:tcPr>
            <w:tcW w:w="1879" w:type="dxa"/>
            <w:vAlign w:val="center"/>
          </w:tcPr>
          <w:p>
            <w:pPr>
              <w:snapToGrid w:val="0"/>
              <w:spacing w:line="240" w:lineRule="auto"/>
              <w:ind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颗粒物、非甲烷总烃、苯、甲苯、</w:t>
            </w:r>
          </w:p>
          <w:p>
            <w:pPr>
              <w:snapToGrid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color w:val="auto"/>
                <w:sz w:val="21"/>
                <w:szCs w:val="21"/>
                <w:vertAlign w:val="baseline"/>
                <w:lang w:val="en-US" w:eastAsia="zh-CN"/>
              </w:rPr>
              <w:t>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restart"/>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双梁</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车间</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焊接</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工序</w:t>
            </w:r>
          </w:p>
        </w:tc>
        <w:tc>
          <w:tcPr>
            <w:tcW w:w="1879" w:type="dxa"/>
            <w:vMerge w:val="restart"/>
            <w:vAlign w:val="center"/>
          </w:tcPr>
          <w:p>
            <w:pPr>
              <w:snapToGrid w:val="0"/>
              <w:spacing w:line="240" w:lineRule="auto"/>
              <w:ind w:firstLine="0" w:firstLineChars="0"/>
              <w:jc w:val="center"/>
              <w:rPr>
                <w:sz w:val="21"/>
                <w:szCs w:val="21"/>
              </w:rPr>
            </w:pPr>
            <w:r>
              <w:rPr>
                <w:rFonts w:hint="eastAsia"/>
                <w:sz w:val="21"/>
                <w:szCs w:val="21"/>
                <w:lang w:val="en-US" w:eastAsia="zh-CN"/>
              </w:rPr>
              <w:t>颗粒物</w:t>
            </w:r>
          </w:p>
        </w:tc>
        <w:tc>
          <w:tcPr>
            <w:tcW w:w="321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集气装置</w:t>
            </w:r>
            <w:r>
              <w:rPr>
                <w:rFonts w:hint="default"/>
                <w:sz w:val="21"/>
                <w:szCs w:val="21"/>
                <w:lang w:val="en-US" w:eastAsia="zh-CN"/>
              </w:rPr>
              <w:t>+</w:t>
            </w:r>
            <w:r>
              <w:rPr>
                <w:rFonts w:hint="eastAsia"/>
                <w:sz w:val="21"/>
                <w:szCs w:val="21"/>
                <w:lang w:val="en-US" w:eastAsia="zh-CN"/>
              </w:rPr>
              <w:t>滤筒除尘器</w:t>
            </w:r>
          </w:p>
          <w:p>
            <w:pPr>
              <w:snapToGrid w:val="0"/>
              <w:spacing w:line="240" w:lineRule="auto"/>
              <w:ind w:firstLine="0" w:firstLineChars="0"/>
              <w:jc w:val="center"/>
              <w:rPr>
                <w:rFonts w:hint="default"/>
                <w:sz w:val="21"/>
                <w:szCs w:val="21"/>
                <w:lang w:val="en-US"/>
              </w:rPr>
            </w:pP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sz w:val="21"/>
                <w:szCs w:val="21"/>
              </w:rPr>
            </w:pPr>
            <w:r>
              <w:rPr>
                <w:rFonts w:hint="eastAsia"/>
                <w:sz w:val="21"/>
                <w:szCs w:val="21"/>
                <w:lang w:val="en-US" w:eastAsia="zh-CN"/>
              </w:rPr>
              <w:t>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下料</w:t>
            </w:r>
          </w:p>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工序</w:t>
            </w:r>
          </w:p>
        </w:tc>
        <w:tc>
          <w:tcPr>
            <w:tcW w:w="1879" w:type="dxa"/>
            <w:vMerge w:val="continue"/>
            <w:vAlign w:val="center"/>
          </w:tcPr>
          <w:p>
            <w:pPr>
              <w:snapToGrid w:val="0"/>
              <w:spacing w:line="240" w:lineRule="auto"/>
              <w:ind w:firstLine="0" w:firstLineChars="0"/>
              <w:jc w:val="center"/>
              <w:rPr>
                <w:rFonts w:hint="eastAsia"/>
                <w:sz w:val="21"/>
                <w:szCs w:val="21"/>
                <w:lang w:val="en-US" w:eastAsia="zh-CN"/>
              </w:rPr>
            </w:pPr>
          </w:p>
        </w:tc>
        <w:tc>
          <w:tcPr>
            <w:tcW w:w="321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集气装置</w:t>
            </w:r>
            <w:r>
              <w:rPr>
                <w:rFonts w:hint="default"/>
                <w:sz w:val="21"/>
                <w:szCs w:val="21"/>
                <w:lang w:val="en-US" w:eastAsia="zh-CN"/>
              </w:rPr>
              <w:t>+</w:t>
            </w:r>
            <w:r>
              <w:rPr>
                <w:rFonts w:hint="eastAsia"/>
                <w:sz w:val="21"/>
                <w:szCs w:val="21"/>
                <w:lang w:val="en-US" w:eastAsia="zh-CN"/>
              </w:rPr>
              <w:t>滤筒除尘器</w:t>
            </w:r>
          </w:p>
          <w:p>
            <w:pPr>
              <w:snapToGrid w:val="0"/>
              <w:spacing w:line="240" w:lineRule="auto"/>
              <w:ind w:firstLine="0" w:firstLineChars="0"/>
              <w:jc w:val="center"/>
              <w:rPr>
                <w:rFonts w:hint="eastAsia"/>
                <w:sz w:val="21"/>
                <w:szCs w:val="21"/>
                <w:lang w:val="en-US" w:eastAsia="zh-CN"/>
              </w:rPr>
            </w:pP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Merge w:val="continue"/>
            <w:vAlign w:val="center"/>
          </w:tcPr>
          <w:p>
            <w:pPr>
              <w:snapToGrid w:val="0"/>
              <w:spacing w:line="240" w:lineRule="auto"/>
              <w:ind w:firstLine="0" w:firstLineChars="0"/>
              <w:jc w:val="center"/>
              <w:rPr>
                <w:rFonts w:hint="eastAsia"/>
                <w:sz w:val="21"/>
                <w:szCs w:val="21"/>
                <w:lang w:val="en-US" w:eastAsia="zh-CN"/>
              </w:rPr>
            </w:pPr>
          </w:p>
        </w:tc>
        <w:tc>
          <w:tcPr>
            <w:tcW w:w="1002" w:type="dxa"/>
            <w:vAlign w:val="center"/>
          </w:tcPr>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双梁涂装房</w:t>
            </w:r>
          </w:p>
        </w:tc>
        <w:tc>
          <w:tcPr>
            <w:tcW w:w="187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非甲烷总烃、苯、甲苯、二甲苯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小件涂装房</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涂装</w:t>
            </w:r>
          </w:p>
          <w:p>
            <w:pPr>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工序</w:t>
            </w:r>
          </w:p>
        </w:tc>
        <w:tc>
          <w:tcPr>
            <w:tcW w:w="1879" w:type="dxa"/>
            <w:vAlign w:val="center"/>
          </w:tcPr>
          <w:p>
            <w:pPr>
              <w:snapToGrid w:val="0"/>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非甲烷总烃、苯、甲苯、二甲苯</w:t>
            </w:r>
          </w:p>
        </w:tc>
        <w:tc>
          <w:tcPr>
            <w:tcW w:w="3212" w:type="dxa"/>
            <w:vAlign w:val="center"/>
          </w:tcPr>
          <w:p>
            <w:pPr>
              <w:snapToGrid w:val="0"/>
              <w:spacing w:line="240" w:lineRule="auto"/>
              <w:ind w:firstLine="0" w:firstLineChars="0"/>
              <w:jc w:val="center"/>
              <w:rPr>
                <w:sz w:val="21"/>
                <w:szCs w:val="21"/>
              </w:rPr>
            </w:pPr>
            <w:r>
              <w:rPr>
                <w:rFonts w:hint="default"/>
                <w:sz w:val="21"/>
                <w:szCs w:val="21"/>
                <w:lang w:val="en-US" w:eastAsia="zh-CN"/>
              </w:rPr>
              <w:t>负压抽风+</w:t>
            </w:r>
            <w:r>
              <w:rPr>
                <w:rFonts w:hint="eastAsia"/>
                <w:sz w:val="21"/>
                <w:szCs w:val="21"/>
                <w:lang w:val="en-US" w:eastAsia="zh-CN"/>
              </w:rPr>
              <w:t>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板材预处理涂装线</w:t>
            </w:r>
          </w:p>
        </w:tc>
        <w:tc>
          <w:tcPr>
            <w:tcW w:w="100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抛丸涂装工序</w:t>
            </w:r>
          </w:p>
        </w:tc>
        <w:tc>
          <w:tcPr>
            <w:tcW w:w="1879" w:type="dxa"/>
            <w:vAlign w:val="center"/>
          </w:tcPr>
          <w:p>
            <w:pPr>
              <w:snapToGrid w:val="0"/>
              <w:spacing w:line="240" w:lineRule="auto"/>
              <w:ind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颗粒物、非甲烷总烃、苯、甲苯、</w:t>
            </w:r>
          </w:p>
          <w:p>
            <w:pPr>
              <w:snapToGrid w:val="0"/>
              <w:spacing w:line="240" w:lineRule="auto"/>
              <w:ind w:firstLine="0" w:firstLineChars="0"/>
              <w:jc w:val="center"/>
              <w:rPr>
                <w:rFonts w:hint="eastAsia"/>
                <w:sz w:val="21"/>
                <w:szCs w:val="21"/>
                <w:lang w:val="en-US" w:eastAsia="zh-CN"/>
              </w:rPr>
            </w:pPr>
            <w:r>
              <w:rPr>
                <w:rFonts w:hint="eastAsia" w:cs="Times New Roman"/>
                <w:color w:val="auto"/>
                <w:sz w:val="21"/>
                <w:szCs w:val="21"/>
                <w:vertAlign w:val="baseline"/>
                <w:lang w:val="en-US" w:eastAsia="zh-CN"/>
              </w:rPr>
              <w:t>二甲苯</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负压抽风+袋式除尘器+干式过滤棉</w:t>
            </w:r>
            <w:r>
              <w:rPr>
                <w:rFonts w:hint="default"/>
                <w:sz w:val="21"/>
                <w:szCs w:val="21"/>
                <w:lang w:val="en-US" w:eastAsia="zh-CN"/>
              </w:rPr>
              <w:t>+</w:t>
            </w:r>
            <w:r>
              <w:rPr>
                <w:rFonts w:hint="eastAsia"/>
                <w:sz w:val="21"/>
                <w:szCs w:val="21"/>
                <w:lang w:val="en-US" w:eastAsia="zh-CN"/>
              </w:rPr>
              <w:t>活性炭吸附+脱附催化燃烧+</w:t>
            </w:r>
            <w:r>
              <w:rPr>
                <w:rFonts w:hint="default"/>
                <w:sz w:val="21"/>
                <w:szCs w:val="21"/>
                <w:lang w:val="en-US" w:eastAsia="zh-CN"/>
              </w:rPr>
              <w:t>15m排气筒</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Merge w:val="continue"/>
            <w:vAlign w:val="center"/>
          </w:tcPr>
          <w:p>
            <w:pPr>
              <w:snapToGrid w:val="0"/>
              <w:spacing w:line="240" w:lineRule="auto"/>
              <w:ind w:firstLine="0" w:firstLineChars="0"/>
              <w:jc w:val="center"/>
              <w:rPr>
                <w:sz w:val="21"/>
                <w:szCs w:val="21"/>
              </w:rPr>
            </w:pPr>
          </w:p>
        </w:tc>
        <w:tc>
          <w:tcPr>
            <w:tcW w:w="1001" w:type="dxa"/>
            <w:vAlign w:val="center"/>
          </w:tcPr>
          <w:p>
            <w:pPr>
              <w:snapToGrid w:val="0"/>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餐厅</w:t>
            </w:r>
          </w:p>
        </w:tc>
        <w:tc>
          <w:tcPr>
            <w:tcW w:w="1002"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食堂</w:t>
            </w:r>
          </w:p>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油烟</w:t>
            </w:r>
          </w:p>
        </w:tc>
        <w:tc>
          <w:tcPr>
            <w:tcW w:w="187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Theme="minorEastAsia"/>
                <w:sz w:val="21"/>
                <w:szCs w:val="21"/>
                <w:lang w:val="en-US" w:eastAsia="zh-CN"/>
              </w:rPr>
            </w:pPr>
            <w:r>
              <w:rPr>
                <w:rFonts w:hint="eastAsia"/>
                <w:sz w:val="21"/>
                <w:szCs w:val="21"/>
                <w:lang w:val="en-US" w:eastAsia="zh-CN"/>
              </w:rPr>
              <w:t>油烟</w:t>
            </w:r>
          </w:p>
        </w:tc>
        <w:tc>
          <w:tcPr>
            <w:tcW w:w="3212"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油烟净化设备</w:t>
            </w:r>
          </w:p>
        </w:tc>
        <w:tc>
          <w:tcPr>
            <w:tcW w:w="789" w:type="dxa"/>
            <w:vAlign w:val="center"/>
          </w:tcPr>
          <w:p>
            <w:pPr>
              <w:snapToGrid w:val="0"/>
              <w:spacing w:line="240" w:lineRule="auto"/>
              <w:ind w:firstLine="0" w:firstLineChars="0"/>
              <w:jc w:val="center"/>
              <w:rPr>
                <w:rFonts w:hint="default"/>
                <w:sz w:val="21"/>
                <w:szCs w:val="21"/>
                <w:lang w:val="en-US" w:eastAsia="zh-CN"/>
              </w:rPr>
            </w:pPr>
            <w:r>
              <w:rPr>
                <w:rFonts w:hint="eastAsia"/>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pPr>
              <w:snapToGrid w:val="0"/>
              <w:spacing w:line="240" w:lineRule="auto"/>
              <w:ind w:firstLine="0" w:firstLineChars="0"/>
              <w:jc w:val="center"/>
              <w:rPr>
                <w:sz w:val="21"/>
                <w:szCs w:val="21"/>
              </w:rPr>
            </w:pPr>
            <w:r>
              <w:rPr>
                <w:sz w:val="21"/>
                <w:szCs w:val="21"/>
              </w:rPr>
              <w:t>无组织</w:t>
            </w:r>
          </w:p>
        </w:tc>
        <w:tc>
          <w:tcPr>
            <w:tcW w:w="2003" w:type="dxa"/>
            <w:gridSpan w:val="2"/>
            <w:vAlign w:val="center"/>
          </w:tcPr>
          <w:p>
            <w:pPr>
              <w:snapToGrid w:val="0"/>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w:t>
            </w:r>
          </w:p>
        </w:tc>
        <w:tc>
          <w:tcPr>
            <w:tcW w:w="1879" w:type="dxa"/>
            <w:vAlign w:val="center"/>
          </w:tcPr>
          <w:p>
            <w:pPr>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颗粒物</w:t>
            </w:r>
            <w:r>
              <w:rPr>
                <w:rFonts w:hint="default"/>
                <w:sz w:val="21"/>
                <w:szCs w:val="21"/>
                <w:lang w:val="en-US" w:eastAsia="zh-CN"/>
              </w:rPr>
              <w:t>、</w:t>
            </w:r>
            <w:r>
              <w:rPr>
                <w:rFonts w:hint="eastAsia"/>
                <w:sz w:val="21"/>
                <w:szCs w:val="21"/>
                <w:lang w:val="en-US" w:eastAsia="zh-CN"/>
              </w:rPr>
              <w:t>非甲烷总烃、苯、甲苯、</w:t>
            </w:r>
          </w:p>
          <w:p>
            <w:pPr>
              <w:snapToGrid w:val="0"/>
              <w:spacing w:line="240" w:lineRule="auto"/>
              <w:ind w:firstLine="0" w:firstLineChars="0"/>
              <w:jc w:val="center"/>
              <w:rPr>
                <w:rFonts w:hint="default"/>
                <w:sz w:val="21"/>
                <w:szCs w:val="21"/>
                <w:lang w:val="en-US"/>
              </w:rPr>
            </w:pPr>
            <w:r>
              <w:rPr>
                <w:rFonts w:hint="eastAsia"/>
                <w:sz w:val="21"/>
                <w:szCs w:val="21"/>
                <w:lang w:val="en-US" w:eastAsia="zh-CN"/>
              </w:rPr>
              <w:t>二甲苯</w:t>
            </w:r>
          </w:p>
        </w:tc>
        <w:tc>
          <w:tcPr>
            <w:tcW w:w="3212" w:type="dxa"/>
            <w:vAlign w:val="center"/>
          </w:tcPr>
          <w:p>
            <w:pPr>
              <w:snapToGrid w:val="0"/>
              <w:spacing w:line="240" w:lineRule="auto"/>
              <w:ind w:firstLine="0" w:firstLineChars="0"/>
              <w:jc w:val="center"/>
              <w:rPr>
                <w:sz w:val="21"/>
                <w:szCs w:val="21"/>
              </w:rPr>
            </w:pPr>
            <w:r>
              <w:rPr>
                <w:sz w:val="21"/>
                <w:szCs w:val="21"/>
              </w:rPr>
              <w:t>加强车间通风换气</w:t>
            </w:r>
          </w:p>
        </w:tc>
        <w:tc>
          <w:tcPr>
            <w:tcW w:w="789" w:type="dxa"/>
            <w:vAlign w:val="center"/>
          </w:tcPr>
          <w:p>
            <w:pPr>
              <w:snapToGrid w:val="0"/>
              <w:spacing w:line="240" w:lineRule="auto"/>
              <w:ind w:firstLine="0" w:firstLineChars="0"/>
              <w:jc w:val="center"/>
              <w:rPr>
                <w:sz w:val="21"/>
                <w:szCs w:val="21"/>
              </w:rPr>
            </w:pPr>
            <w:r>
              <w:rPr>
                <w:rFonts w:hint="eastAsia"/>
                <w:sz w:val="21"/>
                <w:szCs w:val="21"/>
              </w:rPr>
              <w:t>/</w:t>
            </w:r>
          </w:p>
        </w:tc>
      </w:tr>
    </w:tbl>
    <w:p>
      <w:pPr>
        <w:pStyle w:val="4"/>
        <w:pageBreakBefore w:val="0"/>
        <w:kinsoku/>
        <w:wordWrap/>
        <w:overflowPunct/>
        <w:topLinePunct w:val="0"/>
        <w:autoSpaceDE/>
        <w:autoSpaceDN/>
        <w:bidi w:val="0"/>
        <w:spacing w:line="520" w:lineRule="exact"/>
        <w:textAlignment w:val="auto"/>
        <w:rPr>
          <w:rFonts w:cs="Times New Roman"/>
          <w:szCs w:val="28"/>
        </w:rPr>
      </w:pPr>
      <w:bookmarkStart w:id="203" w:name="_Toc25419"/>
      <w:bookmarkStart w:id="204" w:name="_Toc16760"/>
      <w:r>
        <w:rPr>
          <w:rFonts w:cs="Times New Roman"/>
          <w:szCs w:val="28"/>
        </w:rPr>
        <w:t>4.1.3 噪声</w:t>
      </w:r>
      <w:bookmarkEnd w:id="197"/>
      <w:bookmarkEnd w:id="198"/>
      <w:bookmarkEnd w:id="199"/>
      <w:bookmarkEnd w:id="200"/>
      <w:bookmarkEnd w:id="201"/>
      <w:bookmarkEnd w:id="202"/>
      <w:bookmarkEnd w:id="203"/>
      <w:bookmarkEnd w:id="204"/>
    </w:p>
    <w:p>
      <w:pPr>
        <w:pageBreakBefore w:val="0"/>
        <w:kinsoku/>
        <w:wordWrap/>
        <w:overflowPunct/>
        <w:topLinePunct w:val="0"/>
        <w:autoSpaceDE/>
        <w:autoSpaceDN/>
        <w:bidi w:val="0"/>
        <w:spacing w:line="520" w:lineRule="exact"/>
        <w:ind w:firstLine="480"/>
        <w:textAlignment w:val="auto"/>
        <w:rPr>
          <w:rFonts w:hint="eastAsia" w:cs="Times New Roman" w:eastAsiaTheme="minorEastAsia"/>
          <w:lang w:eastAsia="zh-CN"/>
        </w:rPr>
      </w:pPr>
      <w:r>
        <w:rPr>
          <w:color w:val="000000" w:themeColor="text1"/>
          <w:sz w:val="24"/>
          <w14:textFill>
            <w14:solidFill>
              <w14:schemeClr w14:val="tx1"/>
            </w14:solidFill>
          </w14:textFill>
        </w:rPr>
        <w:t>本项目的噪声设备主要有</w:t>
      </w:r>
      <w:r>
        <w:t>起重机、压力机、冲床、剪板机、切割机、车床、二保焊机</w:t>
      </w:r>
      <w:r>
        <w:rPr>
          <w:color w:val="000000" w:themeColor="text1"/>
          <w:sz w:val="24"/>
          <w14:textFill>
            <w14:solidFill>
              <w14:schemeClr w14:val="tx1"/>
            </w14:solidFill>
          </w14:textFill>
        </w:rPr>
        <w:t>等</w:t>
      </w:r>
      <w:r>
        <w:rPr>
          <w:rFonts w:hint="eastAsia" w:cs="Times New Roman"/>
        </w:rPr>
        <w:t>。本项目主要噪声源一览表见下表</w:t>
      </w:r>
      <w:r>
        <w:rPr>
          <w:rFonts w:hint="eastAsia" w:cs="Times New Roman"/>
          <w:lang w:eastAsia="zh-CN"/>
        </w:rPr>
        <w:t>。</w:t>
      </w:r>
    </w:p>
    <w:p>
      <w:pPr>
        <w:pageBreakBefore w:val="0"/>
        <w:widowControl/>
        <w:kinsoku/>
        <w:wordWrap/>
        <w:overflowPunct/>
        <w:topLinePunct w:val="0"/>
        <w:autoSpaceDE/>
        <w:autoSpaceDN/>
        <w:bidi w:val="0"/>
        <w:adjustRightInd w:val="0"/>
        <w:snapToGrid w:val="0"/>
        <w:spacing w:line="520" w:lineRule="exact"/>
        <w:ind w:firstLine="422"/>
        <w:jc w:val="center"/>
        <w:textAlignment w:val="auto"/>
        <w:rPr>
          <w:rFonts w:cs="Times New Roman"/>
          <w:b/>
          <w:bCs/>
          <w:sz w:val="24"/>
          <w:szCs w:val="24"/>
        </w:rPr>
      </w:pPr>
      <w:r>
        <w:rPr>
          <w:rFonts w:cs="Times New Roman"/>
          <w:b/>
          <w:bCs/>
          <w:sz w:val="24"/>
          <w:szCs w:val="24"/>
        </w:rPr>
        <w:t>表</w:t>
      </w:r>
      <w:r>
        <w:rPr>
          <w:rFonts w:hint="eastAsia" w:cs="Times New Roman"/>
          <w:b/>
          <w:bCs/>
          <w:sz w:val="24"/>
          <w:szCs w:val="24"/>
        </w:rPr>
        <w:t>4-2</w:t>
      </w:r>
      <w:r>
        <w:rPr>
          <w:rFonts w:cs="Times New Roman"/>
          <w:b/>
          <w:bCs/>
          <w:sz w:val="24"/>
          <w:szCs w:val="24"/>
        </w:rPr>
        <w:t xml:space="preserve"> 主要产噪设备及源强表</w:t>
      </w:r>
    </w:p>
    <w:tbl>
      <w:tblPr>
        <w:tblStyle w:val="21"/>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868"/>
        <w:gridCol w:w="847"/>
        <w:gridCol w:w="714"/>
        <w:gridCol w:w="936"/>
        <w:gridCol w:w="2011"/>
        <w:gridCol w:w="865"/>
        <w:gridCol w:w="724"/>
        <w:gridCol w:w="8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bCs/>
                <w:color w:val="000000" w:themeColor="text1"/>
                <w:sz w:val="21"/>
                <w:szCs w:val="21"/>
                <w:lang w:val="en-US" w:eastAsia="zh-CN"/>
                <w14:textFill>
                  <w14:solidFill>
                    <w14:schemeClr w14:val="tx1"/>
                  </w14:solidFill>
                </w14:textFill>
              </w:rPr>
            </w:pPr>
            <w:bookmarkStart w:id="205" w:name="_Toc24668"/>
            <w:bookmarkStart w:id="206" w:name="_Toc17697"/>
            <w:bookmarkStart w:id="207" w:name="_Toc7150"/>
            <w:bookmarkStart w:id="208" w:name="_Toc15464"/>
            <w:bookmarkStart w:id="209" w:name="_Toc6557"/>
            <w:bookmarkStart w:id="210" w:name="_Toc3568"/>
            <w:bookmarkStart w:id="211" w:name="_Toc6543"/>
            <w:bookmarkStart w:id="212" w:name="_Toc16855"/>
            <w:bookmarkStart w:id="213" w:name="_Toc24694"/>
            <w:bookmarkStart w:id="214" w:name="_Toc20589"/>
            <w:r>
              <w:rPr>
                <w:rFonts w:hint="eastAsia"/>
                <w:b/>
                <w:bCs/>
                <w:color w:val="000000" w:themeColor="text1"/>
                <w:sz w:val="21"/>
                <w:szCs w:val="21"/>
                <w:lang w:val="en-US" w:eastAsia="zh-CN"/>
                <w14:textFill>
                  <w14:solidFill>
                    <w14:schemeClr w14:val="tx1"/>
                  </w14:solidFill>
                </w14:textFill>
              </w:rPr>
              <w:t>生产车间</w:t>
            </w:r>
          </w:p>
        </w:tc>
        <w:tc>
          <w:tcPr>
            <w:tcW w:w="868"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噪声源</w:t>
            </w:r>
          </w:p>
        </w:tc>
        <w:tc>
          <w:tcPr>
            <w:tcW w:w="84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声源</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类型</w:t>
            </w:r>
          </w:p>
        </w:tc>
        <w:tc>
          <w:tcPr>
            <w:tcW w:w="1650"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噪声产生量</w:t>
            </w:r>
          </w:p>
        </w:tc>
        <w:tc>
          <w:tcPr>
            <w:tcW w:w="2876"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降噪措施</w:t>
            </w:r>
          </w:p>
        </w:tc>
        <w:tc>
          <w:tcPr>
            <w:tcW w:w="1601"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p>
        </w:tc>
        <w:tc>
          <w:tcPr>
            <w:tcW w:w="868"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p>
        </w:tc>
        <w:tc>
          <w:tcPr>
            <w:tcW w:w="84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核算方法</w:t>
            </w:r>
          </w:p>
        </w:tc>
        <w:tc>
          <w:tcPr>
            <w:tcW w:w="93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声级</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水平/dB(A)</w:t>
            </w:r>
          </w:p>
        </w:tc>
        <w:tc>
          <w:tcPr>
            <w:tcW w:w="201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Theme="minor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治理措施</w:t>
            </w: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降噪</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效果/dB(A)</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核算方法</w:t>
            </w:r>
          </w:p>
        </w:tc>
        <w:tc>
          <w:tcPr>
            <w:tcW w:w="87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声级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水平/dB(A)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单梁车间</w:t>
            </w: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切割机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90</w:t>
            </w:r>
          </w:p>
        </w:tc>
        <w:tc>
          <w:tcPr>
            <w:tcW w:w="2011"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r>
              <w:rPr>
                <w:b w:val="0"/>
                <w:bCs w:val="0"/>
                <w:color w:val="000000" w:themeColor="text1"/>
                <w:kern w:val="0"/>
                <w:sz w:val="21"/>
                <w:szCs w:val="21"/>
                <w14:textFill>
                  <w14:solidFill>
                    <w14:schemeClr w14:val="tx1"/>
                  </w14:solidFill>
                </w14:textFill>
              </w:rPr>
              <w:t>厂房隔声、基础减震</w:t>
            </w: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剪板机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90</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折弯机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sz w:val="21"/>
                <w:szCs w:val="21"/>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80</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焊机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sz w:val="21"/>
                <w:szCs w:val="21"/>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65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b w:val="0"/>
                <w:bCs w:val="0"/>
                <w:color w:val="000000" w:themeColor="text1"/>
                <w:sz w:val="21"/>
                <w:szCs w:val="21"/>
                <w14:textFill>
                  <w14:solidFill>
                    <w14:schemeClr w14:val="tx1"/>
                  </w14:solidFill>
                </w14:textFill>
              </w:rPr>
            </w:pPr>
            <w:r>
              <w:rPr>
                <w:sz w:val="21"/>
                <w:szCs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双梁车间</w:t>
            </w: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车床</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85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钻床</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85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铣床</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85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p>
        </w:tc>
        <w:tc>
          <w:tcPr>
            <w:tcW w:w="868"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焊机</w:t>
            </w:r>
          </w:p>
        </w:tc>
        <w:tc>
          <w:tcPr>
            <w:tcW w:w="8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sz w:val="21"/>
                <w:szCs w:val="21"/>
              </w:rPr>
              <w:t>间隙</w:t>
            </w:r>
          </w:p>
        </w:tc>
        <w:tc>
          <w:tcPr>
            <w:tcW w:w="7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类比</w:t>
            </w:r>
          </w:p>
        </w:tc>
        <w:tc>
          <w:tcPr>
            <w:tcW w:w="936"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65</w:t>
            </w:r>
          </w:p>
        </w:tc>
        <w:tc>
          <w:tcPr>
            <w:tcW w:w="201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9"/>
              <w:rPr>
                <w:b w:val="0"/>
                <w:bCs w:val="0"/>
                <w:color w:val="000000" w:themeColor="text1"/>
                <w:kern w:val="0"/>
                <w:sz w:val="21"/>
                <w:szCs w:val="21"/>
                <w14:textFill>
                  <w14:solidFill>
                    <w14:schemeClr w14:val="tx1"/>
                  </w14:solidFill>
                </w14:textFill>
              </w:rPr>
            </w:pPr>
          </w:p>
        </w:tc>
        <w:tc>
          <w:tcPr>
            <w:tcW w:w="8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eastAsiaTheme="minor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10</w:t>
            </w:r>
          </w:p>
        </w:tc>
        <w:tc>
          <w:tcPr>
            <w:tcW w:w="7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类比</w:t>
            </w:r>
          </w:p>
        </w:tc>
        <w:tc>
          <w:tcPr>
            <w:tcW w:w="877"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b w:val="0"/>
                <w:bCs w:val="0"/>
                <w:color w:val="000000" w:themeColor="text1"/>
                <w:sz w:val="21"/>
                <w:szCs w:val="21"/>
                <w14:textFill>
                  <w14:solidFill>
                    <w14:schemeClr w14:val="tx1"/>
                  </w14:solidFill>
                </w14:textFill>
              </w:rPr>
            </w:pPr>
            <w:r>
              <w:rPr>
                <w:sz w:val="21"/>
                <w:szCs w:val="21"/>
              </w:rPr>
              <w:t>55</w:t>
            </w:r>
          </w:p>
        </w:tc>
      </w:tr>
    </w:tbl>
    <w:p>
      <w:pPr>
        <w:pStyle w:val="4"/>
        <w:keepNext/>
        <w:keepLines/>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215" w:name="_Toc32160"/>
      <w:r>
        <w:rPr>
          <w:rFonts w:cs="Times New Roman"/>
          <w:szCs w:val="28"/>
        </w:rPr>
        <w:t>4.1.4 固废</w:t>
      </w:r>
      <w:bookmarkEnd w:id="205"/>
      <w:bookmarkEnd w:id="206"/>
      <w:bookmarkEnd w:id="207"/>
      <w:bookmarkEnd w:id="208"/>
      <w:bookmarkEnd w:id="209"/>
      <w:bookmarkEnd w:id="210"/>
      <w:bookmarkEnd w:id="211"/>
      <w:bookmarkEnd w:id="212"/>
      <w:bookmarkEnd w:id="213"/>
      <w:bookmarkEnd w:id="214"/>
      <w:bookmarkEnd w:id="215"/>
    </w:p>
    <w:p>
      <w:pPr>
        <w:pStyle w:val="7"/>
        <w:keepNext w:val="0"/>
        <w:keepLines w:val="0"/>
        <w:pageBreakBefore w:val="0"/>
        <w:widowControl w:val="0"/>
        <w:kinsoku/>
        <w:wordWrap/>
        <w:overflowPunct/>
        <w:topLinePunct w:val="0"/>
        <w:autoSpaceDE/>
        <w:autoSpaceDN/>
        <w:bidi w:val="0"/>
        <w:adjustRightInd w:val="0"/>
        <w:snapToGrid w:val="0"/>
        <w:spacing w:line="520" w:lineRule="exact"/>
        <w:ind w:firstLine="480"/>
        <w:textAlignment w:val="baseline"/>
        <w:rPr>
          <w:rFonts w:cs="Times New Roman"/>
        </w:rPr>
      </w:pPr>
      <w:r>
        <w:rPr>
          <w:rFonts w:cs="Times New Roman"/>
        </w:rPr>
        <w:t>本项目产生固体废物包括一般废物和危险废物，固废产生情况详见下表。</w:t>
      </w:r>
    </w:p>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b/>
          <w:bCs/>
          <w:sz w:val="24"/>
          <w:szCs w:val="24"/>
        </w:rPr>
      </w:pPr>
      <w:r>
        <w:rPr>
          <w:rFonts w:cs="Times New Roman"/>
          <w:b/>
          <w:bCs/>
          <w:sz w:val="24"/>
          <w:szCs w:val="24"/>
        </w:rPr>
        <w:t>表4-</w:t>
      </w:r>
      <w:r>
        <w:rPr>
          <w:rFonts w:hint="eastAsia" w:cs="Times New Roman"/>
          <w:b/>
          <w:bCs/>
          <w:sz w:val="24"/>
          <w:szCs w:val="24"/>
        </w:rPr>
        <w:t>3</w:t>
      </w:r>
      <w:r>
        <w:rPr>
          <w:rFonts w:cs="Times New Roman"/>
          <w:b/>
          <w:bCs/>
          <w:sz w:val="24"/>
          <w:szCs w:val="24"/>
        </w:rPr>
        <w:t xml:space="preserve">   本项目固废情况一览表</w:t>
      </w:r>
    </w:p>
    <w:tbl>
      <w:tblPr>
        <w:tblStyle w:val="2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365"/>
        <w:gridCol w:w="1208"/>
        <w:gridCol w:w="1131"/>
        <w:gridCol w:w="1095"/>
        <w:gridCol w:w="2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类型</w:t>
            </w: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固废名称</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来源</w:t>
            </w:r>
          </w:p>
        </w:tc>
        <w:tc>
          <w:tcPr>
            <w:tcW w:w="1131"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rPr>
            </w:pPr>
            <w:r>
              <w:rPr>
                <w:rFonts w:cs="Times New Roman"/>
                <w:b/>
                <w:bCs/>
                <w:sz w:val="21"/>
                <w:szCs w:val="21"/>
              </w:rPr>
              <w:t>产生量</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废物类别</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b/>
                <w:bCs/>
                <w:sz w:val="21"/>
                <w:szCs w:val="21"/>
              </w:rPr>
            </w:pPr>
            <w:r>
              <w:rPr>
                <w:rFonts w:cs="Times New Roman"/>
                <w:b/>
                <w:bCs/>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一般废物</w:t>
            </w: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下料切割、机加工废金属下脚料</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下料切割、机加工</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cs="Times New Roman"/>
              </w:rPr>
            </w:pPr>
            <w:r>
              <w:rPr>
                <w:sz w:val="21"/>
                <w:szCs w:val="21"/>
              </w:rPr>
              <w:t>56.214</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cs="Times New Roman"/>
                <w:sz w:val="21"/>
                <w:szCs w:val="21"/>
              </w:rPr>
              <w:t>/</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rPr>
              <w:t>暂存于一般固废暂存间，</w:t>
            </w:r>
            <w:r>
              <w:rPr>
                <w:rFonts w:hint="eastAsia" w:cs="Times New Roman"/>
                <w:sz w:val="21"/>
                <w:szCs w:val="21"/>
                <w:lang w:val="en-US" w:eastAsia="zh-CN"/>
              </w:rPr>
              <w:t>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废抹布废手套</w:t>
            </w:r>
          </w:p>
        </w:tc>
        <w:tc>
          <w:tcPr>
            <w:tcW w:w="1208"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cs="Times New Roman" w:eastAsiaTheme="minorEastAsia"/>
                <w:sz w:val="21"/>
                <w:szCs w:val="21"/>
                <w:lang w:val="en-US" w:eastAsia="zh-CN"/>
              </w:rPr>
            </w:pPr>
            <w:r>
              <w:rPr>
                <w:rFonts w:hint="eastAsia" w:cs="Times New Roman"/>
                <w:sz w:val="21"/>
                <w:szCs w:val="21"/>
                <w:lang w:val="en-US" w:eastAsia="zh-CN"/>
              </w:rPr>
              <w:t>清理机器</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eastAsia" w:cs="Times New Roman" w:eastAsiaTheme="minorEastAsia"/>
                <w:sz w:val="21"/>
                <w:szCs w:val="21"/>
                <w:lang w:eastAsia="zh-CN"/>
              </w:rPr>
            </w:pPr>
            <w:r>
              <w:rPr>
                <w:sz w:val="21"/>
                <w:szCs w:val="21"/>
              </w:rPr>
              <w:t>3</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sz w:val="21"/>
                <w:szCs w:val="21"/>
              </w:rPr>
              <w:t>属于危险废物豁免清单中危废，可随一般固废处理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除尘渣</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eastAsiaTheme="minorEastAsia"/>
                <w:sz w:val="21"/>
                <w:szCs w:val="21"/>
                <w:lang w:eastAsia="zh-CN"/>
              </w:rPr>
            </w:pPr>
            <w:r>
              <w:rPr>
                <w:rFonts w:hint="eastAsia" w:cs="Times New Roman"/>
                <w:sz w:val="21"/>
                <w:szCs w:val="21"/>
                <w:lang w:val="en-US" w:eastAsia="zh-CN"/>
              </w:rPr>
              <w:t>废气处理</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220.9514</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913"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暂存于一般固废暂存间，</w:t>
            </w:r>
            <w:r>
              <w:rPr>
                <w:rFonts w:hint="eastAsia" w:cs="Times New Roman"/>
                <w:sz w:val="21"/>
                <w:szCs w:val="21"/>
                <w:lang w:val="en-US" w:eastAsia="zh-CN"/>
              </w:rPr>
              <w:t>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废焊条和焊渣</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焊接工序</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5.9</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r>
              <w:rPr>
                <w:rFonts w:hint="eastAsia" w:cs="Times New Roman"/>
                <w:sz w:val="21"/>
                <w:szCs w:val="21"/>
              </w:rPr>
              <w:t>/</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sz w:val="21"/>
                <w:szCs w:val="21"/>
                <w:lang w:val="en-US" w:eastAsia="zh-CN"/>
              </w:rPr>
            </w:pPr>
            <w:r>
              <w:rPr>
                <w:sz w:val="21"/>
                <w:szCs w:val="21"/>
              </w:rPr>
              <w:t>废钢丸</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抛丸工序</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20</w:t>
            </w:r>
          </w:p>
        </w:tc>
        <w:tc>
          <w:tcPr>
            <w:tcW w:w="109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rPr>
            </w:pPr>
            <w:r>
              <w:rPr>
                <w:rFonts w:hint="eastAsia" w:cs="Times New Roman"/>
                <w:sz w:val="21"/>
                <w:szCs w:val="21"/>
              </w:rPr>
              <w:t>/</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pStyle w:val="7"/>
              <w:spacing w:line="240" w:lineRule="auto"/>
              <w:ind w:firstLine="0" w:firstLineChars="0"/>
              <w:jc w:val="center"/>
              <w:rPr>
                <w:rFonts w:hint="default" w:cs="Times New Roman"/>
                <w:sz w:val="21"/>
                <w:szCs w:val="21"/>
                <w:lang w:val="en-US" w:eastAsia="zh-CN"/>
              </w:rPr>
            </w:pPr>
            <w:r>
              <w:rPr>
                <w:sz w:val="21"/>
                <w:szCs w:val="21"/>
              </w:rPr>
              <w:t>废包装材料</w:t>
            </w:r>
          </w:p>
        </w:tc>
        <w:tc>
          <w:tcPr>
            <w:tcW w:w="1208"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原料使用</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eastAsia" w:cs="Times New Roman"/>
                <w:sz w:val="21"/>
                <w:szCs w:val="21"/>
              </w:rPr>
            </w:pPr>
            <w:r>
              <w:rPr>
                <w:sz w:val="21"/>
                <w:szCs w:val="21"/>
              </w:rPr>
              <w:t>10</w:t>
            </w:r>
          </w:p>
        </w:tc>
        <w:tc>
          <w:tcPr>
            <w:tcW w:w="109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1"/>
                <w:szCs w:val="21"/>
              </w:rPr>
            </w:pPr>
            <w:r>
              <w:rPr>
                <w:rFonts w:hint="eastAsia" w:cs="Times New Roman"/>
                <w:sz w:val="21"/>
                <w:szCs w:val="21"/>
              </w:rPr>
              <w:t>/</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0"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color w:val="FF0000"/>
                <w:sz w:val="21"/>
                <w:szCs w:val="21"/>
              </w:rPr>
            </w:pPr>
            <w:r>
              <w:rPr>
                <w:rFonts w:cs="Times New Roman"/>
                <w:sz w:val="21"/>
                <w:szCs w:val="21"/>
              </w:rPr>
              <w:t>危险废物</w:t>
            </w: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废切削液</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eastAsia" w:cs="Times New Roman" w:eastAsiaTheme="minorEastAsia"/>
                <w:sz w:val="21"/>
                <w:szCs w:val="21"/>
                <w:lang w:val="en-US" w:eastAsia="zh-CN"/>
              </w:rPr>
            </w:pPr>
            <w:r>
              <w:rPr>
                <w:rFonts w:hint="eastAsia" w:cs="Times New Roman"/>
                <w:sz w:val="21"/>
                <w:szCs w:val="21"/>
                <w:lang w:val="en-US" w:eastAsia="zh-CN"/>
              </w:rPr>
              <w:t>机加工</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lang w:val="en-US" w:eastAsia="zh-CN"/>
              </w:rPr>
            </w:pPr>
            <w:r>
              <w:rPr>
                <w:sz w:val="21"/>
                <w:szCs w:val="21"/>
              </w:rPr>
              <w:t>3.96</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rPr>
              <w:t>HW</w:t>
            </w:r>
            <w:r>
              <w:rPr>
                <w:rFonts w:hint="eastAsia" w:cs="Times New Roman"/>
                <w:sz w:val="21"/>
                <w:szCs w:val="21"/>
                <w:lang w:val="en-US" w:eastAsia="zh-CN"/>
              </w:rPr>
              <w:t>09</w:t>
            </w:r>
          </w:p>
        </w:tc>
        <w:tc>
          <w:tcPr>
            <w:tcW w:w="2913" w:type="dxa"/>
            <w:vMerge w:val="restart"/>
            <w:tcMar>
              <w:top w:w="0" w:type="dxa"/>
              <w:left w:w="28" w:type="dxa"/>
              <w:bottom w:w="0" w:type="dxa"/>
              <w:right w:w="28" w:type="dxa"/>
            </w:tcMar>
            <w:vAlign w:val="center"/>
          </w:tcPr>
          <w:p>
            <w:pPr>
              <w:adjustRightInd w:val="0"/>
              <w:snapToGrid w:val="0"/>
              <w:spacing w:line="240" w:lineRule="auto"/>
              <w:ind w:firstLine="0" w:firstLineChars="0"/>
              <w:jc w:val="center"/>
              <w:rPr>
                <w:sz w:val="21"/>
                <w:szCs w:val="21"/>
              </w:rPr>
            </w:pPr>
            <w:r>
              <w:rPr>
                <w:sz w:val="21"/>
                <w:szCs w:val="21"/>
              </w:rPr>
              <w:t>委托有危废处置资质的单位</w:t>
            </w:r>
          </w:p>
          <w:p>
            <w:pPr>
              <w:adjustRightInd w:val="0"/>
              <w:snapToGrid w:val="0"/>
              <w:spacing w:line="240" w:lineRule="auto"/>
              <w:ind w:firstLine="0" w:firstLineChars="0"/>
              <w:jc w:val="center"/>
              <w:rPr>
                <w:rFonts w:cs="Times New Roman"/>
                <w:sz w:val="21"/>
                <w:szCs w:val="21"/>
              </w:rPr>
            </w:pPr>
            <w:r>
              <w:rPr>
                <w:sz w:val="21"/>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bookmarkStart w:id="216" w:name="_Toc31250"/>
            <w:bookmarkStart w:id="217" w:name="_Toc24822"/>
            <w:bookmarkStart w:id="218" w:name="_Toc32247"/>
            <w:bookmarkStart w:id="219" w:name="_Toc23671"/>
            <w:bookmarkStart w:id="220" w:name="_Toc24943"/>
            <w:bookmarkStart w:id="221" w:name="_Toc7182"/>
            <w:bookmarkStart w:id="222" w:name="_Toc23180"/>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废料桶</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原料使用</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33.67</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rPr>
              <w:t>HW</w:t>
            </w:r>
            <w:r>
              <w:rPr>
                <w:rFonts w:hint="eastAsia" w:cs="Times New Roman"/>
                <w:sz w:val="21"/>
                <w:szCs w:val="21"/>
                <w:lang w:val="en-US" w:eastAsia="zh-CN"/>
              </w:rPr>
              <w:t>49</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漆渣</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废气治理</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rFonts w:hint="eastAsia"/>
                <w:sz w:val="21"/>
                <w:szCs w:val="21"/>
              </w:rPr>
              <w:t>16.8344</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rPr>
              <w:t>HW</w:t>
            </w:r>
            <w:r>
              <w:rPr>
                <w:rFonts w:hint="eastAsia" w:cs="Times New Roman"/>
                <w:sz w:val="21"/>
                <w:szCs w:val="21"/>
                <w:lang w:val="en-US" w:eastAsia="zh-CN"/>
              </w:rPr>
              <w:t>12</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废机油</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eastAsia" w:cs="Times New Roman" w:eastAsiaTheme="minorEastAsia"/>
                <w:sz w:val="21"/>
                <w:szCs w:val="21"/>
                <w:lang w:val="en-US" w:eastAsia="zh-CN"/>
              </w:rPr>
            </w:pPr>
            <w:r>
              <w:rPr>
                <w:rFonts w:hint="eastAsia" w:cs="Times New Roman"/>
                <w:sz w:val="21"/>
                <w:szCs w:val="21"/>
                <w:lang w:val="en-US" w:eastAsia="zh-CN"/>
              </w:rPr>
              <w:t>机加工</w:t>
            </w:r>
          </w:p>
        </w:tc>
        <w:tc>
          <w:tcPr>
            <w:tcW w:w="1131" w:type="dxa"/>
            <w:tcMar>
              <w:top w:w="0" w:type="dxa"/>
              <w:left w:w="28" w:type="dxa"/>
              <w:bottom w:w="0" w:type="dxa"/>
              <w:right w:w="28" w:type="dxa"/>
            </w:tcMar>
            <w:vAlign w:val="center"/>
          </w:tcPr>
          <w:p>
            <w:pPr>
              <w:pStyle w:val="7"/>
              <w:spacing w:line="240" w:lineRule="auto"/>
              <w:ind w:firstLine="0" w:firstLineChars="0"/>
              <w:jc w:val="center"/>
              <w:rPr>
                <w:rFonts w:hint="default" w:cs="Times New Roman" w:eastAsiaTheme="minorEastAsia"/>
                <w:sz w:val="21"/>
                <w:szCs w:val="21"/>
                <w:lang w:val="en-US" w:eastAsia="zh-CN"/>
              </w:rPr>
            </w:pPr>
            <w:r>
              <w:rPr>
                <w:sz w:val="21"/>
                <w:szCs w:val="21"/>
              </w:rPr>
              <w:t>33.7385</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rPr>
              <w:t>HW</w:t>
            </w:r>
            <w:r>
              <w:rPr>
                <w:rFonts w:hint="eastAsia" w:cs="Times New Roman"/>
                <w:sz w:val="21"/>
                <w:szCs w:val="21"/>
                <w:lang w:val="en-US" w:eastAsia="zh-CN"/>
              </w:rPr>
              <w:t>08</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废活性炭</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废气治理</w:t>
            </w:r>
          </w:p>
        </w:tc>
        <w:tc>
          <w:tcPr>
            <w:tcW w:w="1131"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lang w:val="en-US" w:eastAsia="zh-CN"/>
              </w:rPr>
              <w:t>6.32t/a</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color w:val="auto"/>
                <w:sz w:val="21"/>
                <w:szCs w:val="21"/>
              </w:rPr>
            </w:pPr>
            <w:r>
              <w:rPr>
                <w:rFonts w:hint="eastAsia" w:cs="Times New Roman"/>
                <w:color w:val="auto"/>
                <w:sz w:val="21"/>
                <w:szCs w:val="21"/>
              </w:rPr>
              <w:t>HW</w:t>
            </w:r>
            <w:r>
              <w:rPr>
                <w:rFonts w:hint="eastAsia" w:cs="Times New Roman"/>
                <w:color w:val="auto"/>
                <w:sz w:val="21"/>
                <w:szCs w:val="21"/>
                <w:lang w:val="en-US" w:eastAsia="zh-CN"/>
              </w:rPr>
              <w:t>49</w:t>
            </w:r>
          </w:p>
        </w:tc>
        <w:tc>
          <w:tcPr>
            <w:tcW w:w="2913" w:type="dxa"/>
            <w:vMerge w:val="continue"/>
            <w:tcMar>
              <w:top w:w="0" w:type="dxa"/>
              <w:left w:w="28" w:type="dxa"/>
              <w:bottom w:w="0" w:type="dxa"/>
              <w:right w:w="28" w:type="dxa"/>
            </w:tcMar>
            <w:vAlign w:val="center"/>
          </w:tcPr>
          <w:p>
            <w:pPr>
              <w:adjustRightInd w:val="0"/>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生活垃圾</w:t>
            </w:r>
          </w:p>
        </w:tc>
        <w:tc>
          <w:tcPr>
            <w:tcW w:w="1365"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sz w:val="21"/>
                <w:szCs w:val="21"/>
              </w:rPr>
            </w:pPr>
            <w:r>
              <w:rPr>
                <w:rFonts w:hint="eastAsia" w:cs="Times New Roman"/>
                <w:sz w:val="21"/>
                <w:szCs w:val="21"/>
                <w:lang w:val="en-US" w:eastAsia="zh-CN"/>
              </w:rPr>
              <w:t>生活垃圾</w:t>
            </w:r>
          </w:p>
        </w:tc>
        <w:tc>
          <w:tcPr>
            <w:tcW w:w="1208" w:type="dxa"/>
            <w:tcMar>
              <w:top w:w="0" w:type="dxa"/>
              <w:left w:w="28" w:type="dxa"/>
              <w:bottom w:w="0" w:type="dxa"/>
              <w:right w:w="28" w:type="dxa"/>
            </w:tcMar>
            <w:vAlign w:val="center"/>
          </w:tcPr>
          <w:p>
            <w:pPr>
              <w:adjustRightInd w:val="0"/>
              <w:snapToGrid w:val="0"/>
              <w:spacing w:line="240" w:lineRule="auto"/>
              <w:ind w:left="0" w:leftChars="0"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员工生活</w:t>
            </w:r>
          </w:p>
        </w:tc>
        <w:tc>
          <w:tcPr>
            <w:tcW w:w="1131"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600t/a</w:t>
            </w:r>
          </w:p>
        </w:tc>
        <w:tc>
          <w:tcPr>
            <w:tcW w:w="1095" w:type="dxa"/>
            <w:tcMar>
              <w:top w:w="0" w:type="dxa"/>
              <w:left w:w="28" w:type="dxa"/>
              <w:bottom w:w="0" w:type="dxa"/>
              <w:right w:w="28" w:type="dxa"/>
            </w:tcMar>
            <w:vAlign w:val="center"/>
          </w:tcPr>
          <w:p>
            <w:pPr>
              <w:adjustRightInd w:val="0"/>
              <w:snapToGrid w:val="0"/>
              <w:spacing w:line="240" w:lineRule="auto"/>
              <w:ind w:firstLine="0" w:firstLineChars="0"/>
              <w:jc w:val="center"/>
              <w:rPr>
                <w:rFonts w:hint="eastAsia" w:cs="Times New Roman" w:eastAsiaTheme="minorEastAsia"/>
                <w:sz w:val="21"/>
                <w:szCs w:val="21"/>
                <w:lang w:val="en-US" w:eastAsia="zh-CN"/>
              </w:rPr>
            </w:pPr>
            <w:r>
              <w:rPr>
                <w:rFonts w:hint="eastAsia" w:cs="Times New Roman"/>
                <w:sz w:val="21"/>
                <w:szCs w:val="21"/>
                <w:lang w:val="en-US" w:eastAsia="zh-CN"/>
              </w:rPr>
              <w:t>/</w:t>
            </w:r>
          </w:p>
        </w:tc>
        <w:tc>
          <w:tcPr>
            <w:tcW w:w="2913" w:type="dxa"/>
            <w:tcMar>
              <w:top w:w="0" w:type="dxa"/>
              <w:left w:w="28" w:type="dxa"/>
              <w:bottom w:w="0" w:type="dxa"/>
              <w:right w:w="28" w:type="dxa"/>
            </w:tcMar>
            <w:vAlign w:val="center"/>
          </w:tcPr>
          <w:p>
            <w:pPr>
              <w:adjustRightInd w:val="0"/>
              <w:snapToGrid w:val="0"/>
              <w:spacing w:line="240" w:lineRule="auto"/>
              <w:ind w:firstLine="0" w:firstLineChars="0"/>
              <w:jc w:val="center"/>
              <w:rPr>
                <w:rFonts w:hint="default" w:cs="Times New Roman" w:eastAsiaTheme="minorEastAsia"/>
                <w:sz w:val="21"/>
                <w:szCs w:val="21"/>
                <w:lang w:val="en-US" w:eastAsia="zh-CN"/>
              </w:rPr>
            </w:pPr>
            <w:r>
              <w:rPr>
                <w:rFonts w:hint="eastAsia" w:cs="Times New Roman"/>
                <w:sz w:val="21"/>
                <w:szCs w:val="21"/>
                <w:lang w:val="en-US" w:eastAsia="zh-CN"/>
              </w:rPr>
              <w:t>定期由环卫部门清运</w:t>
            </w:r>
          </w:p>
        </w:tc>
      </w:tr>
    </w:tbl>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223" w:name="_Toc21478"/>
      <w:r>
        <w:rPr>
          <w:rFonts w:cs="Times New Roman"/>
        </w:rPr>
        <w:t>4.2 其他环保设施</w:t>
      </w:r>
      <w:bookmarkEnd w:id="216"/>
      <w:bookmarkEnd w:id="217"/>
      <w:bookmarkEnd w:id="218"/>
      <w:bookmarkEnd w:id="219"/>
      <w:bookmarkEnd w:id="220"/>
      <w:bookmarkEnd w:id="221"/>
      <w:bookmarkEnd w:id="222"/>
      <w:bookmarkEnd w:id="223"/>
    </w:p>
    <w:p>
      <w:pPr>
        <w:pStyle w:val="4"/>
        <w:pageBreakBefore w:val="0"/>
        <w:widowControl w:val="0"/>
        <w:kinsoku/>
        <w:wordWrap/>
        <w:overflowPunct/>
        <w:topLinePunct w:val="0"/>
        <w:autoSpaceDE/>
        <w:autoSpaceDN/>
        <w:bidi w:val="0"/>
        <w:adjustRightInd/>
        <w:snapToGrid/>
        <w:spacing w:line="480" w:lineRule="exact"/>
        <w:textAlignment w:val="auto"/>
        <w:rPr>
          <w:rFonts w:cs="Times New Roman"/>
          <w:szCs w:val="28"/>
        </w:rPr>
      </w:pPr>
      <w:bookmarkStart w:id="224" w:name="_Toc14964"/>
      <w:bookmarkStart w:id="225" w:name="_Toc8241"/>
      <w:bookmarkStart w:id="226" w:name="_Toc3215"/>
      <w:bookmarkStart w:id="227" w:name="_Toc19240"/>
      <w:bookmarkStart w:id="228" w:name="_Toc6129"/>
      <w:bookmarkStart w:id="229" w:name="_Toc25784"/>
      <w:bookmarkStart w:id="230" w:name="_Toc8182"/>
      <w:bookmarkStart w:id="231" w:name="_Toc18926"/>
      <w:bookmarkStart w:id="232" w:name="_Toc23580"/>
      <w:bookmarkStart w:id="233" w:name="_Toc6210"/>
      <w:bookmarkStart w:id="234" w:name="_Toc16804"/>
      <w:r>
        <w:rPr>
          <w:rFonts w:cs="Times New Roman"/>
          <w:szCs w:val="28"/>
        </w:rPr>
        <w:t>4.2.1</w:t>
      </w:r>
      <w:r>
        <w:rPr>
          <w:rFonts w:hint="eastAsia" w:cs="Times New Roman"/>
          <w:szCs w:val="28"/>
        </w:rPr>
        <w:t xml:space="preserve"> 环境风险防范设施</w:t>
      </w:r>
      <w:bookmarkEnd w:id="224"/>
      <w:bookmarkEnd w:id="225"/>
    </w:p>
    <w:p>
      <w:pPr>
        <w:pageBreakBefore w:val="0"/>
        <w:widowControl w:val="0"/>
        <w:tabs>
          <w:tab w:val="left" w:pos="2880"/>
        </w:tabs>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总图布置和建筑安全方面防范措施</w:t>
      </w:r>
      <w:r>
        <w:rPr>
          <w:rFonts w:hint="eastAsia"/>
          <w:b/>
          <w:bCs/>
          <w:color w:val="000000" w:themeColor="text1"/>
          <w:sz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80" w:lineRule="exact"/>
        <w:ind w:firstLine="480"/>
        <w:textAlignment w:val="auto"/>
      </w:pPr>
      <w:r>
        <w:t>按《建筑设计防火规范》（GB50016-2014）和《工业企业总平面设计规范》（GB50187-</w:t>
      </w:r>
      <w:r>
        <w:rPr>
          <w:rFonts w:hint="eastAsia"/>
        </w:rPr>
        <w:t>2012</w:t>
      </w:r>
      <w:r>
        <w:t>）的要求设计危险品贮存场所的防火隔堤和防爆堤。贮存场所必须防止烈日暴晒与防爆降温，保持阴凉、干燥、通风良好，贮存场所内严禁烟火，与明火或普通电气设备的间距不应小于10m。贮存场所地面应浇筑水泥硬化，四周建设集水沟/井收集，一旦发生火灾爆炸性事故，液体可不流出区外，加强贮存场所和车间通风系统，防雷击和抗地震危害。</w:t>
      </w:r>
    </w:p>
    <w:p>
      <w:pPr>
        <w:pageBreakBefore w:val="0"/>
        <w:widowControl w:val="0"/>
        <w:kinsoku/>
        <w:wordWrap/>
        <w:overflowPunct/>
        <w:topLinePunct w:val="0"/>
        <w:autoSpaceDE/>
        <w:autoSpaceDN/>
        <w:bidi w:val="0"/>
        <w:adjustRightInd/>
        <w:snapToGrid/>
        <w:spacing w:line="480" w:lineRule="exact"/>
        <w:ind w:firstLine="480"/>
        <w:textAlignment w:val="auto"/>
      </w:pPr>
      <w:r>
        <w:t>按照《建筑物防雷设计规范》（200</w:t>
      </w:r>
      <w:r>
        <w:rPr>
          <w:rFonts w:hint="eastAsia"/>
        </w:rPr>
        <w:t>5</w:t>
      </w:r>
      <w:r>
        <w:t>年版）和《防止静电事故通用导则》</w:t>
      </w:r>
      <w:r>
        <w:rPr>
          <w:rFonts w:hint="eastAsia"/>
        </w:rPr>
        <w:t>（</w:t>
      </w:r>
      <w:r>
        <w:t>GB12158-2006</w:t>
      </w:r>
      <w:r>
        <w:rPr>
          <w:rFonts w:hint="eastAsia"/>
        </w:rPr>
        <w:t>）</w:t>
      </w:r>
      <w:r>
        <w:t>的规定，贮存场所要有防直接雷的措施，定期对全厂避雷设施进行全面检查、检测，在贮存场所等可能产生静电危险的设备和管道处设置可靠的静电接地，并定期监测静电接地设施。</w:t>
      </w:r>
    </w:p>
    <w:p>
      <w:pPr>
        <w:pageBreakBefore w:val="0"/>
        <w:widowControl w:val="0"/>
        <w:kinsoku/>
        <w:wordWrap/>
        <w:overflowPunct/>
        <w:topLinePunct w:val="0"/>
        <w:autoSpaceDE/>
        <w:autoSpaceDN/>
        <w:bidi w:val="0"/>
        <w:adjustRightInd/>
        <w:snapToGrid/>
        <w:spacing w:line="480" w:lineRule="exact"/>
        <w:ind w:firstLine="480"/>
        <w:textAlignment w:val="auto"/>
      </w:pPr>
      <w:r>
        <w:t>各种防护用具、消防器材、应急堵漏工具以及通讯工具必须放于固定位置并作好定期检查和药品更换。</w:t>
      </w:r>
    </w:p>
    <w:p>
      <w:pPr>
        <w:pageBreakBefore w:val="0"/>
        <w:widowControl w:val="0"/>
        <w:kinsoku/>
        <w:wordWrap/>
        <w:overflowPunct/>
        <w:topLinePunct w:val="0"/>
        <w:autoSpaceDE/>
        <w:autoSpaceDN/>
        <w:bidi w:val="0"/>
        <w:adjustRightInd/>
        <w:snapToGrid/>
        <w:spacing w:line="480" w:lineRule="exact"/>
        <w:ind w:firstLine="480"/>
        <w:textAlignment w:val="auto"/>
      </w:pPr>
      <w:r>
        <w:t>另外，要求本项目在所有对外的排水管道设置</w:t>
      </w:r>
      <w:r>
        <w:rPr>
          <w:rFonts w:hint="eastAsia"/>
        </w:rPr>
        <w:t>临时切断</w:t>
      </w:r>
      <w:r>
        <w:t>阀门，在事故发生时立即关闭阀门，避免超标废水排入外环境。</w:t>
      </w:r>
    </w:p>
    <w:p>
      <w:pPr>
        <w:pageBreakBefore w:val="0"/>
        <w:widowControl w:val="0"/>
        <w:tabs>
          <w:tab w:val="left" w:pos="2880"/>
        </w:tabs>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生产单元</w:t>
      </w:r>
      <w:r>
        <w:rPr>
          <w:b/>
          <w:bCs/>
          <w:color w:val="000000" w:themeColor="text1"/>
          <w:sz w:val="24"/>
          <w14:textFill>
            <w14:solidFill>
              <w14:schemeClr w14:val="tx1"/>
            </w14:solidFill>
          </w14:textFill>
        </w:rPr>
        <w:t>风险防范措施</w:t>
      </w:r>
      <w:r>
        <w:rPr>
          <w:rFonts w:hint="eastAsia"/>
          <w:b/>
          <w:bCs/>
          <w:color w:val="000000" w:themeColor="text1"/>
          <w:sz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①厂区现状单独设置化学品原料及成品仓库、危险废物的暂存场地、生产车间、办公楼等，各建（构）筑物间距满足安全防范要求；油漆库墙体采用耐高温设计。厂区道路的布置满足《建筑设计防火规范》的要求，并做到人货分流，禁止运输车辆进入主要生产区；厂区设置环形消防车道，其宽度不小于3.5m，道路上空遇管架等障碍物时，其净高至少不应小于4m；电缆、仪表线采用地埋方式排布。</w:t>
      </w:r>
    </w:p>
    <w:p>
      <w:pPr>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②严格按《爆炸和火灾危险环境电力设置设计规范》（GB50058-1992）进行危险区域划分及电气设备材料的选型。生产过程中选用密封良好的输送泵，工艺管线密封防腐防泄漏，生产装置在室内车间，设备配套的阀门、仪表接头等密闭，基本无跑、冒、滴、漏现象，设备严密不漏。</w:t>
      </w:r>
    </w:p>
    <w:p>
      <w:pPr>
        <w:ind w:firstLine="480"/>
      </w:pPr>
      <w:r>
        <w:rPr>
          <w:rFonts w:hint="eastAsia"/>
        </w:rPr>
        <w:t>③可燃、易燃化学品用量较大，因此所有的电器设备均采用防爆型设备，设备和管道设有防雷防静电接地设施。搬运时要轻装轻卸，防止包装及容器损坏。装卸货时由班组长监督作业。</w:t>
      </w:r>
    </w:p>
    <w:p>
      <w:pPr>
        <w:ind w:firstLine="480"/>
      </w:pPr>
      <w:r>
        <w:rPr>
          <w:rFonts w:hint="eastAsia"/>
        </w:rPr>
        <w:t>④消防栓是厂区主要的消防水源，消防水池和消防泵起辅助消防的作用。全厂区配备消防栓能满足消防供水需求，并在仓库、车间配备有灭火器。</w:t>
      </w:r>
    </w:p>
    <w:p>
      <w:pPr>
        <w:ind w:firstLine="480"/>
      </w:pPr>
      <w:r>
        <w:rPr>
          <w:rFonts w:hint="eastAsia"/>
        </w:rPr>
        <w:t>⑤在生产车间内设置机械通风系统，在容易发生泄漏的场所设置吸风罩等设施以排除可能泄漏的可燃气体，避免形成爆炸性混合物；操作人员在操作时，检查通风装置必须是在启动状态。在停车时，必须先停设备，待设备清理干净后，再停通风装置。</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⑥厂区采用雨污分流制。</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⑦车间、库房设有良好的机械排风系统，并满足防爆要求。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⑧操作人员必须经过专门培训，严格遵守操作规程。</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⑨生产车间内均设禁止吸烟标志，防止人为吸烟引起明火火灾等事故。</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危险化学品贮运安全防范措施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按照《建筑设计防火规范》、《常用化学危险品储存通则》等国家安全标准要求，在仓库设置防止物料泄漏流失和扩散到环境的设施，以及围堰收集系统，并按规定设置安全警示标志，配备了相应的干粉、泡沫等消防器材。按照危化品不同性质、灭火方法等进行了严格的分区分类和分库存放。项目将按照要求进一步做好安全防范工作，</w:t>
      </w:r>
      <w:r>
        <w:rPr>
          <w:rFonts w:hint="eastAsia"/>
        </w:rPr>
        <w:t>设置围堰，</w:t>
      </w:r>
      <w:r>
        <w:t>保持库房内干燥通风、密封避光，安装通风设施，夏季高温时应采取如喷淋降温、遮阳和防高温隔绝涂料等措施。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val="en-US" w:eastAsia="zh-CN"/>
          <w14:textFill>
            <w14:solidFill>
              <w14:schemeClr w14:val="tx1"/>
            </w14:solidFill>
          </w14:textFill>
        </w:rPr>
      </w:pPr>
      <w:r>
        <w:rPr>
          <w:rFonts w:hint="eastAsia"/>
          <w:b/>
          <w:bCs/>
        </w:rPr>
        <w:t>物料泄漏事故的防范措施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泄漏事故的预防是生产和储运过程中最重要的环节，发生泄漏事故可能引起火灾和爆炸等一系列重大事故。经验表明：原料存储不当或设备失灵和人为的操作失误是引发泄漏的主要原因。因此选用较好的设备、精心设计、认真的管理和操作人员的责任心是减少泄漏事故的关键。本项目主要采取以下物料泄漏事故的预防：</w:t>
      </w:r>
    </w:p>
    <w:p>
      <w:pPr>
        <w:ind w:firstLine="480"/>
      </w:pPr>
      <w:r>
        <w:rPr>
          <w:rFonts w:hint="eastAsia"/>
        </w:rPr>
        <w:t>①本项目主要原辅料储存于油漆仓库，库内设置机械通风系统，在容易发生泄漏的场所设置吸风罩等设施以排除可能泄漏的可燃气体和有毒气体，避免形成爆炸性混合物。同时加强仓库的日常管理，制定严格的管理制度和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②操作人员在操作时，检查通风装置必须是在启动状态。在停车时，必须先停设备，待设备清理干净后，再停通风装置。</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工艺技术设计安全防范措施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公司应加强对员工及新进厂员工的工艺操作规程、安全操作规程等的培训，并取得相应的合格证书或上岗证。工厂工艺技术尽量应用自动化、密闭化及远程化控制手段，在仪表控制系统尽量使用连锁、声光、报警等事故应急系统。废气处理设施考虑在发生突然停电、停水情况等应急状态的措施，设置应急电源。严格执行开停车规程和检修操作规程，作好物料置换和检测等工作。</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电气仪表安全防范措施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制定电气运行和操作的巡回检查制度、检修制度、运行安全操作规程等各项规章制度。生产车间、原料库、成品库等电气装置和照明设施应满足各危险场所的防爆要求，并设置应急电源和应急照明。</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b/>
          <w:bCs/>
        </w:rPr>
        <w:t>防雷防静电防范措施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各类建筑、装置设施的防雷、防雷击电磁脉冲应按现行的国家标准《建筑物防雷设计规范》（2005年版）的规定执行；各类生产车间、原料仓库等均属第三类防雷建筑物，要有防直接雷的措施；每年定期对全厂避雷设施进行全面检查、检测，对变压器中心线接地，各电气设备的金属外壳接地和配电间的重复接地线进行认真的测试，接地电阻要符合标准要求。</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rFonts w:hint="eastAsia"/>
          <w:b/>
          <w:bCs/>
        </w:rPr>
        <w:t>废水事故排放防范措施</w:t>
      </w:r>
    </w:p>
    <w:p>
      <w:pPr>
        <w:ind w:firstLine="480"/>
      </w:pPr>
      <w:r>
        <w:rPr>
          <w:rFonts w:hint="eastAsia"/>
        </w:rPr>
        <w:t>由于油漆</w:t>
      </w:r>
      <w:r>
        <w:t>、固化剂、稀释剂等</w:t>
      </w:r>
      <w:r>
        <w:rPr>
          <w:rFonts w:hint="eastAsia"/>
        </w:rPr>
        <w:t>泄漏后救火过程中产生的消防污水一旦进入外环境水体可能污染水体，建议在</w:t>
      </w:r>
      <w:r>
        <w:t>厂区雨</w:t>
      </w:r>
      <w:r>
        <w:rPr>
          <w:rFonts w:hint="eastAsia"/>
        </w:rPr>
        <w:t>、污</w:t>
      </w:r>
      <w:r>
        <w:t>水排口与区域管网之间安装切断闸阀，一旦企业发生消防或安全事故，及时并切断与外部管道的连通并停止</w:t>
      </w:r>
      <w:r>
        <w:rPr>
          <w:rFonts w:hint="eastAsia"/>
        </w:rPr>
        <w:t>运行</w:t>
      </w:r>
      <w:r>
        <w:t>，</w:t>
      </w:r>
      <w:r>
        <w:rPr>
          <w:rFonts w:hint="eastAsia"/>
        </w:rPr>
        <w:t>建议厂区建设事故池200m</w:t>
      </w:r>
      <w:r>
        <w:rPr>
          <w:rFonts w:hint="eastAsia"/>
          <w:vertAlign w:val="superscript"/>
        </w:rPr>
        <w:t>3</w:t>
      </w:r>
      <w:r>
        <w:rPr>
          <w:rFonts w:hint="eastAsia"/>
        </w:rPr>
        <w:t>，</w:t>
      </w:r>
      <w:r>
        <w:t>将消防尾水及地面雨水接入事故池中，不与外环境水体连通，不会发生废水外泄的情况</w:t>
      </w:r>
      <w:r>
        <w:rPr>
          <w:rFonts w:hint="eastAsia"/>
        </w:rPr>
        <w:t>，待事故结束后交由有资质单位处理</w:t>
      </w:r>
      <w:r>
        <w:t>。</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事故池容积根据消防</w:t>
      </w:r>
      <w:r>
        <w:t>用水量进行设置，本项目喷漆车间发生</w:t>
      </w:r>
      <w:r>
        <w:rPr>
          <w:rFonts w:hint="eastAsia"/>
        </w:rPr>
        <w:t>火灾</w:t>
      </w:r>
      <w:r>
        <w:t>后消防用水量为</w:t>
      </w:r>
      <w:r>
        <w:rPr>
          <w:rFonts w:hint="eastAsia"/>
        </w:rPr>
        <w:t>1</w:t>
      </w:r>
      <w:r>
        <w:t>80</w:t>
      </w:r>
      <w:r>
        <w:rPr>
          <w:rFonts w:hint="eastAsia"/>
        </w:rPr>
        <w:t>m</w:t>
      </w:r>
      <w:r>
        <w:rPr>
          <w:rFonts w:hint="eastAsia"/>
          <w:vertAlign w:val="superscript"/>
        </w:rPr>
        <w:t>3</w:t>
      </w:r>
      <w:r>
        <w:t>，</w:t>
      </w:r>
      <w:r>
        <w:rPr>
          <w:rFonts w:hint="eastAsia"/>
        </w:rPr>
        <w:t>消防</w:t>
      </w:r>
      <w:r>
        <w:t>废水量</w:t>
      </w:r>
      <w:r>
        <w:rPr>
          <w:rFonts w:hint="eastAsia"/>
        </w:rPr>
        <w:t>约为180</w:t>
      </w:r>
      <w:r>
        <w:t xml:space="preserve"> </w:t>
      </w:r>
      <w:r>
        <w:rPr>
          <w:rFonts w:hint="eastAsia"/>
        </w:rPr>
        <w:t>m</w:t>
      </w:r>
      <w:r>
        <w:rPr>
          <w:rFonts w:hint="eastAsia"/>
          <w:vertAlign w:val="superscript"/>
        </w:rPr>
        <w:t>3</w:t>
      </w:r>
      <w:r>
        <w:rPr>
          <w:rFonts w:hint="eastAsia"/>
        </w:rPr>
        <w:t>，厂内建议设置一个200m</w:t>
      </w:r>
      <w:r>
        <w:rPr>
          <w:rFonts w:hint="eastAsia"/>
          <w:vertAlign w:val="superscript"/>
        </w:rPr>
        <w:t>3</w:t>
      </w:r>
      <w:r>
        <w:rPr>
          <w:rFonts w:hint="eastAsia"/>
        </w:rPr>
        <w:t>的事故池。《水体污染防控紧急措施设计导则》中明确指出，一个厂区按一处事故设防，即同一时间内，厂区内只有一处发生事故。在确定本项目事故池容积时，按最不利情况考虑，建议按200m</w:t>
      </w:r>
      <w:r>
        <w:rPr>
          <w:rFonts w:hint="eastAsia"/>
          <w:vertAlign w:val="superscript"/>
        </w:rPr>
        <w:t>3</w:t>
      </w:r>
      <w:r>
        <w:rPr>
          <w:rFonts w:hint="eastAsia"/>
        </w:rPr>
        <w:t>设计。</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b/>
          <w:bCs/>
        </w:rPr>
      </w:pPr>
      <w:r>
        <w:rPr>
          <w:rFonts w:hint="eastAsia"/>
          <w:b/>
          <w:bCs/>
        </w:rPr>
        <w:t>废气事故排放防范措施</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rPr>
          <w:rFonts w:hint="eastAsia"/>
        </w:rPr>
        <w:t>根据</w:t>
      </w:r>
      <w:r>
        <w:t>工程分析，本项目</w:t>
      </w:r>
      <w:r>
        <w:rPr>
          <w:rFonts w:hint="eastAsia"/>
        </w:rPr>
        <w:t>废气</w:t>
      </w:r>
      <w:r>
        <w:t>事故排放主要是</w:t>
      </w:r>
      <w:r>
        <w:rPr>
          <w:rFonts w:hint="eastAsia"/>
        </w:rPr>
        <w:t>有机废气</w:t>
      </w:r>
      <w:r>
        <w:t>处理设备发生故障导致有机废气不能有效处理</w:t>
      </w:r>
      <w:r>
        <w:rPr>
          <w:rFonts w:hint="eastAsia"/>
        </w:rPr>
        <w:t>、</w:t>
      </w:r>
      <w:r>
        <w:t>机加工粉尘</w:t>
      </w:r>
      <w:r>
        <w:rPr>
          <w:rFonts w:hint="eastAsia"/>
        </w:rPr>
        <w:t>废气</w:t>
      </w:r>
      <w:r>
        <w:t>处理设施故障导致</w:t>
      </w:r>
      <w:r>
        <w:rPr>
          <w:rFonts w:hint="eastAsia"/>
        </w:rPr>
        <w:t>机加工</w:t>
      </w:r>
      <w:r>
        <w:t>粉尘不能有效处理。</w:t>
      </w:r>
      <w:r>
        <w:rPr>
          <w:rFonts w:hint="eastAsia"/>
        </w:rPr>
        <w:t>本</w:t>
      </w:r>
      <w:r>
        <w:t>报告</w:t>
      </w:r>
      <w:r>
        <w:rPr>
          <w:rFonts w:hint="eastAsia"/>
        </w:rPr>
        <w:t>建议</w:t>
      </w:r>
      <w:r>
        <w:t>建设单位</w:t>
      </w:r>
      <w:r>
        <w:rPr>
          <w:rFonts w:hint="eastAsia"/>
        </w:rPr>
        <w:t>制定</w:t>
      </w:r>
      <w:r>
        <w:t>详细环境保护责任制度，落实环保责任人，细化废气处理设施使用制度及操作流程，</w:t>
      </w:r>
      <w:r>
        <w:rPr>
          <w:rFonts w:hint="eastAsia"/>
        </w:rPr>
        <w:t>在</w:t>
      </w:r>
      <w:r>
        <w:t>废气处理设施发生故障时停止生产设备运行，并对环保设施进行</w:t>
      </w:r>
      <w:r>
        <w:rPr>
          <w:rFonts w:hint="eastAsia"/>
        </w:rPr>
        <w:t>检查</w:t>
      </w:r>
      <w:r>
        <w:t>维修，待废气处理设施检查维修、正常运转后再进行生产，减少废气对周围环境影响</w:t>
      </w:r>
      <w:r>
        <w:rPr>
          <w:rFonts w:hint="eastAsia"/>
        </w:rPr>
        <w:t>；</w:t>
      </w:r>
      <w:r>
        <w:t>有设备负责人定期对废气处理设施进行检查，</w:t>
      </w:r>
      <w:r>
        <w:rPr>
          <w:rFonts w:hint="eastAsia"/>
        </w:rPr>
        <w:t>对</w:t>
      </w:r>
      <w:r>
        <w:t>集尘渣定期收集、活性炭</w:t>
      </w:r>
      <w:r>
        <w:rPr>
          <w:rFonts w:hint="eastAsia"/>
        </w:rPr>
        <w:t>过滤棉</w:t>
      </w:r>
      <w:r>
        <w:t>定期更换，进一步减少废气事故排放。</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生产单元场地防渗措施</w:t>
      </w:r>
      <w:r>
        <w:rPr>
          <w:rFonts w:hint="eastAsia"/>
          <w:b/>
          <w:bCs/>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根据工程物料或者污染物泄漏的途径和生产功能单元所处的位置，将厂区可划分为重点污染防渗区、一般污染防渗区和简单污染防渗区。</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pPr>
      <w:r>
        <w:t>重点防渗区：主要包括危废暂存间、油漆等物料储存室、</w:t>
      </w:r>
      <w:r>
        <w:rPr>
          <w:rFonts w:hint="eastAsia"/>
        </w:rPr>
        <w:t>油漆临时堆存场所、喷漆区</w:t>
      </w:r>
      <w:r>
        <w:t>、污水处理设施及污水管道，污染物类型主要为持久性有机污染物。</w:t>
      </w:r>
    </w:p>
    <w:p>
      <w:pPr>
        <w:ind w:firstLine="480"/>
      </w:pPr>
      <w:r>
        <w:t>一般防渗区：生产车间、一般固废暂存区。</w:t>
      </w:r>
    </w:p>
    <w:p>
      <w:pPr>
        <w:ind w:firstLine="480"/>
      </w:pPr>
      <w:r>
        <w:t>简单防渗区：办公楼、锅炉房、</w:t>
      </w:r>
      <w:r>
        <w:rPr>
          <w:rFonts w:hint="eastAsia"/>
        </w:rPr>
        <w:t>停车场、</w:t>
      </w:r>
      <w:r>
        <w:t>配电室等生产生活辅助设施。</w:t>
      </w:r>
    </w:p>
    <w:p>
      <w:pPr>
        <w:keepNext w:val="0"/>
        <w:keepLines w:val="0"/>
        <w:pageBreakBefore w:val="0"/>
        <w:widowControl w:val="0"/>
        <w:kinsoku/>
        <w:wordWrap/>
        <w:overflowPunct/>
        <w:topLinePunct w:val="0"/>
        <w:autoSpaceDE/>
        <w:autoSpaceDN/>
        <w:bidi w:val="0"/>
        <w:adjustRightInd/>
        <w:snapToGrid w:val="0"/>
        <w:spacing w:line="520" w:lineRule="exact"/>
        <w:ind w:firstLine="422"/>
        <w:jc w:val="center"/>
        <w:textAlignment w:val="auto"/>
        <w:rPr>
          <w:rFonts w:cs="Times New Roman"/>
          <w:b/>
          <w:bCs/>
          <w:sz w:val="24"/>
          <w:szCs w:val="24"/>
        </w:rPr>
      </w:pPr>
      <w:r>
        <w:rPr>
          <w:rFonts w:cs="Times New Roman"/>
          <w:b/>
          <w:bCs/>
          <w:sz w:val="24"/>
          <w:szCs w:val="24"/>
        </w:rPr>
        <w:t>表4-</w:t>
      </w:r>
      <w:r>
        <w:rPr>
          <w:rFonts w:hint="eastAsia" w:cs="Times New Roman"/>
          <w:b/>
          <w:bCs/>
          <w:sz w:val="24"/>
          <w:szCs w:val="24"/>
          <w:lang w:val="en-US" w:eastAsia="zh-CN"/>
        </w:rPr>
        <w:t>4</w:t>
      </w:r>
      <w:r>
        <w:rPr>
          <w:rFonts w:cs="Times New Roman"/>
          <w:b/>
          <w:bCs/>
          <w:sz w:val="24"/>
          <w:szCs w:val="24"/>
        </w:rPr>
        <w:t xml:space="preserve">   本项目</w:t>
      </w:r>
      <w:r>
        <w:rPr>
          <w:rFonts w:hint="eastAsia" w:cs="Times New Roman"/>
          <w:b/>
          <w:bCs/>
          <w:sz w:val="24"/>
          <w:szCs w:val="24"/>
          <w:lang w:val="en-US" w:eastAsia="zh-CN"/>
        </w:rPr>
        <w:t>分区防渗方案</w:t>
      </w:r>
      <w:r>
        <w:rPr>
          <w:rFonts w:cs="Times New Roman"/>
          <w:b/>
          <w:bCs/>
          <w:sz w:val="24"/>
          <w:szCs w:val="24"/>
        </w:rPr>
        <w:t>一览表</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1418"/>
        <w:gridCol w:w="773"/>
        <w:gridCol w:w="3621"/>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4" w:hRule="atLeast"/>
          <w:tblHeader/>
        </w:trPr>
        <w:tc>
          <w:tcPr>
            <w:tcW w:w="675" w:type="dxa"/>
            <w:vAlign w:val="center"/>
          </w:tcPr>
          <w:p>
            <w:pPr>
              <w:pStyle w:val="62"/>
              <w:rPr>
                <w:b/>
                <w:bCs/>
                <w:kern w:val="2"/>
                <w:szCs w:val="24"/>
              </w:rPr>
            </w:pPr>
            <w:r>
              <w:rPr>
                <w:b/>
                <w:bCs/>
                <w:kern w:val="2"/>
                <w:szCs w:val="24"/>
              </w:rPr>
              <w:t>防渗</w:t>
            </w:r>
          </w:p>
          <w:p>
            <w:pPr>
              <w:pStyle w:val="62"/>
              <w:rPr>
                <w:b/>
                <w:bCs/>
                <w:kern w:val="2"/>
                <w:szCs w:val="24"/>
              </w:rPr>
            </w:pPr>
            <w:r>
              <w:rPr>
                <w:b/>
                <w:bCs/>
                <w:kern w:val="2"/>
                <w:szCs w:val="24"/>
              </w:rPr>
              <w:t>级别</w:t>
            </w:r>
          </w:p>
        </w:tc>
        <w:tc>
          <w:tcPr>
            <w:tcW w:w="1418" w:type="dxa"/>
            <w:vAlign w:val="center"/>
          </w:tcPr>
          <w:p>
            <w:pPr>
              <w:pStyle w:val="62"/>
              <w:rPr>
                <w:b/>
                <w:bCs/>
                <w:kern w:val="2"/>
                <w:szCs w:val="24"/>
              </w:rPr>
            </w:pPr>
            <w:r>
              <w:rPr>
                <w:b/>
                <w:bCs/>
                <w:kern w:val="2"/>
                <w:szCs w:val="24"/>
              </w:rPr>
              <w:t>生产单元</w:t>
            </w:r>
          </w:p>
          <w:p>
            <w:pPr>
              <w:pStyle w:val="62"/>
              <w:rPr>
                <w:b/>
                <w:bCs/>
                <w:kern w:val="2"/>
                <w:szCs w:val="24"/>
              </w:rPr>
            </w:pPr>
            <w:r>
              <w:rPr>
                <w:b/>
                <w:bCs/>
                <w:kern w:val="2"/>
                <w:szCs w:val="24"/>
              </w:rPr>
              <w:t>名称</w:t>
            </w:r>
          </w:p>
        </w:tc>
        <w:tc>
          <w:tcPr>
            <w:tcW w:w="773" w:type="dxa"/>
            <w:vAlign w:val="center"/>
          </w:tcPr>
          <w:p>
            <w:pPr>
              <w:pStyle w:val="62"/>
              <w:rPr>
                <w:b/>
                <w:bCs/>
                <w:kern w:val="2"/>
                <w:szCs w:val="24"/>
              </w:rPr>
            </w:pPr>
            <w:r>
              <w:rPr>
                <w:b/>
                <w:bCs/>
                <w:kern w:val="2"/>
                <w:szCs w:val="24"/>
              </w:rPr>
              <w:t>主要污染因子</w:t>
            </w:r>
          </w:p>
        </w:tc>
        <w:tc>
          <w:tcPr>
            <w:tcW w:w="3621" w:type="dxa"/>
            <w:vAlign w:val="center"/>
          </w:tcPr>
          <w:p>
            <w:pPr>
              <w:pStyle w:val="62"/>
              <w:rPr>
                <w:b/>
                <w:bCs/>
                <w:kern w:val="2"/>
                <w:szCs w:val="24"/>
              </w:rPr>
            </w:pPr>
            <w:r>
              <w:rPr>
                <w:b/>
                <w:bCs/>
                <w:kern w:val="2"/>
                <w:szCs w:val="24"/>
              </w:rPr>
              <w:t>防渗措施</w:t>
            </w:r>
          </w:p>
        </w:tc>
        <w:tc>
          <w:tcPr>
            <w:tcW w:w="2799" w:type="dxa"/>
            <w:vAlign w:val="center"/>
          </w:tcPr>
          <w:p>
            <w:pPr>
              <w:pStyle w:val="62"/>
              <w:rPr>
                <w:b/>
                <w:bCs/>
                <w:kern w:val="2"/>
                <w:szCs w:val="24"/>
              </w:rPr>
            </w:pPr>
            <w:r>
              <w:rPr>
                <w:b/>
                <w:bCs/>
                <w:kern w:val="2"/>
                <w:szCs w:val="24"/>
              </w:rPr>
              <w:t>防渗参考标准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Merge w:val="restart"/>
            <w:vAlign w:val="center"/>
          </w:tcPr>
          <w:p>
            <w:pPr>
              <w:pStyle w:val="62"/>
              <w:rPr>
                <w:b/>
                <w:bCs/>
                <w:kern w:val="2"/>
                <w:szCs w:val="24"/>
              </w:rPr>
            </w:pPr>
            <w:r>
              <w:rPr>
                <w:b/>
                <w:bCs/>
                <w:kern w:val="2"/>
                <w:szCs w:val="24"/>
              </w:rPr>
              <w:t>重点</w:t>
            </w:r>
          </w:p>
          <w:p>
            <w:pPr>
              <w:pStyle w:val="62"/>
              <w:rPr>
                <w:b/>
                <w:bCs/>
                <w:kern w:val="2"/>
                <w:szCs w:val="24"/>
              </w:rPr>
            </w:pPr>
            <w:r>
              <w:rPr>
                <w:b/>
                <w:bCs/>
                <w:kern w:val="2"/>
                <w:szCs w:val="24"/>
              </w:rPr>
              <w:t>防渗区</w:t>
            </w:r>
          </w:p>
        </w:tc>
        <w:tc>
          <w:tcPr>
            <w:tcW w:w="1418" w:type="dxa"/>
            <w:vAlign w:val="center"/>
          </w:tcPr>
          <w:p>
            <w:pPr>
              <w:pStyle w:val="62"/>
              <w:rPr>
                <w:kern w:val="2"/>
                <w:szCs w:val="24"/>
              </w:rPr>
            </w:pPr>
            <w:r>
              <w:rPr>
                <w:kern w:val="2"/>
                <w:szCs w:val="24"/>
              </w:rPr>
              <w:t>喷漆车间、油漆稀释剂等贮存场所</w:t>
            </w:r>
            <w:r>
              <w:rPr>
                <w:rFonts w:hint="eastAsia"/>
                <w:kern w:val="2"/>
                <w:szCs w:val="24"/>
              </w:rPr>
              <w:t>、喷漆区域、污水处理设施及管道</w:t>
            </w:r>
          </w:p>
        </w:tc>
        <w:tc>
          <w:tcPr>
            <w:tcW w:w="773" w:type="dxa"/>
            <w:vAlign w:val="center"/>
          </w:tcPr>
          <w:p>
            <w:pPr>
              <w:pStyle w:val="62"/>
              <w:rPr>
                <w:kern w:val="2"/>
                <w:szCs w:val="24"/>
              </w:rPr>
            </w:pPr>
            <w:r>
              <w:rPr>
                <w:kern w:val="2"/>
                <w:szCs w:val="24"/>
              </w:rPr>
              <w:t>有机</w:t>
            </w:r>
          </w:p>
          <w:p>
            <w:pPr>
              <w:pStyle w:val="62"/>
              <w:rPr>
                <w:kern w:val="2"/>
                <w:szCs w:val="24"/>
              </w:rPr>
            </w:pPr>
            <w:r>
              <w:rPr>
                <w:kern w:val="2"/>
                <w:szCs w:val="24"/>
              </w:rPr>
              <w:t>废物</w:t>
            </w:r>
          </w:p>
        </w:tc>
        <w:tc>
          <w:tcPr>
            <w:tcW w:w="3621" w:type="dxa"/>
            <w:vAlign w:val="center"/>
          </w:tcPr>
          <w:p>
            <w:pPr>
              <w:pStyle w:val="62"/>
              <w:rPr>
                <w:kern w:val="2"/>
                <w:szCs w:val="24"/>
              </w:rPr>
            </w:pPr>
            <w:r>
              <w:rPr>
                <w:kern w:val="2"/>
                <w:szCs w:val="24"/>
              </w:rPr>
              <w:t>喷漆车间等除地面用防渗混凝土以外，对于混凝土中间的伸缩缝、缩缝和与实体基础的缝隙，通过填充柔性材料、防渗填塞料达到防渗的目的。</w:t>
            </w:r>
          </w:p>
        </w:tc>
        <w:tc>
          <w:tcPr>
            <w:tcW w:w="2799" w:type="dxa"/>
            <w:vAlign w:val="center"/>
          </w:tcPr>
          <w:p>
            <w:pPr>
              <w:pStyle w:val="62"/>
              <w:rPr>
                <w:kern w:val="2"/>
                <w:szCs w:val="24"/>
              </w:rPr>
            </w:pPr>
            <w:r>
              <w:rPr>
                <w:kern w:val="2"/>
                <w:szCs w:val="24"/>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Merge w:val="continue"/>
            <w:vAlign w:val="center"/>
          </w:tcPr>
          <w:p>
            <w:pPr>
              <w:pStyle w:val="62"/>
              <w:rPr>
                <w:b/>
                <w:bCs/>
                <w:kern w:val="2"/>
                <w:szCs w:val="24"/>
              </w:rPr>
            </w:pPr>
          </w:p>
        </w:tc>
        <w:tc>
          <w:tcPr>
            <w:tcW w:w="1418" w:type="dxa"/>
            <w:vAlign w:val="center"/>
          </w:tcPr>
          <w:p>
            <w:pPr>
              <w:pStyle w:val="62"/>
              <w:rPr>
                <w:kern w:val="2"/>
                <w:szCs w:val="24"/>
              </w:rPr>
            </w:pPr>
            <w:r>
              <w:rPr>
                <w:rFonts w:hint="eastAsia"/>
                <w:kern w:val="2"/>
                <w:szCs w:val="24"/>
              </w:rPr>
              <w:t>油漆</w:t>
            </w:r>
            <w:r>
              <w:rPr>
                <w:kern w:val="2"/>
                <w:szCs w:val="24"/>
              </w:rPr>
              <w:t>临时存放点</w:t>
            </w:r>
          </w:p>
        </w:tc>
        <w:tc>
          <w:tcPr>
            <w:tcW w:w="773" w:type="dxa"/>
            <w:vAlign w:val="center"/>
          </w:tcPr>
          <w:p>
            <w:pPr>
              <w:pStyle w:val="62"/>
              <w:rPr>
                <w:kern w:val="2"/>
                <w:szCs w:val="24"/>
              </w:rPr>
            </w:pPr>
            <w:r>
              <w:rPr>
                <w:kern w:val="2"/>
                <w:szCs w:val="24"/>
              </w:rPr>
              <w:t>有机</w:t>
            </w:r>
          </w:p>
          <w:p>
            <w:pPr>
              <w:pStyle w:val="62"/>
              <w:rPr>
                <w:kern w:val="2"/>
                <w:szCs w:val="24"/>
              </w:rPr>
            </w:pPr>
            <w:r>
              <w:rPr>
                <w:kern w:val="2"/>
                <w:szCs w:val="24"/>
              </w:rPr>
              <w:t>废物</w:t>
            </w:r>
          </w:p>
        </w:tc>
        <w:tc>
          <w:tcPr>
            <w:tcW w:w="3621" w:type="dxa"/>
            <w:vAlign w:val="center"/>
          </w:tcPr>
          <w:p>
            <w:pPr>
              <w:pStyle w:val="62"/>
              <w:rPr>
                <w:kern w:val="2"/>
                <w:szCs w:val="24"/>
              </w:rPr>
            </w:pPr>
            <w:r>
              <w:rPr>
                <w:kern w:val="2"/>
                <w:szCs w:val="24"/>
              </w:rPr>
              <w:t>建议地面采用钢筋混凝土外壳与柔性人工衬层组合的刚性结构其结构由下到上依次为：钢筋混凝土底板、土工布、HDPE膜、土工布、危险废物。</w:t>
            </w:r>
          </w:p>
        </w:tc>
        <w:tc>
          <w:tcPr>
            <w:tcW w:w="2799" w:type="dxa"/>
            <w:vAlign w:val="center"/>
          </w:tcPr>
          <w:p>
            <w:pPr>
              <w:pStyle w:val="62"/>
              <w:rPr>
                <w:kern w:val="2"/>
                <w:szCs w:val="24"/>
              </w:rPr>
            </w:pPr>
            <w:r>
              <w:rPr>
                <w:kern w:val="2"/>
                <w:szCs w:val="24"/>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Align w:val="center"/>
          </w:tcPr>
          <w:p>
            <w:pPr>
              <w:pStyle w:val="62"/>
              <w:rPr>
                <w:b/>
                <w:bCs/>
                <w:kern w:val="2"/>
                <w:szCs w:val="24"/>
              </w:rPr>
            </w:pPr>
            <w:r>
              <w:rPr>
                <w:b/>
                <w:bCs/>
                <w:kern w:val="2"/>
                <w:szCs w:val="24"/>
              </w:rPr>
              <w:t>一般</w:t>
            </w:r>
          </w:p>
          <w:p>
            <w:pPr>
              <w:pStyle w:val="62"/>
              <w:rPr>
                <w:b/>
                <w:bCs/>
                <w:kern w:val="2"/>
                <w:szCs w:val="24"/>
              </w:rPr>
            </w:pPr>
            <w:r>
              <w:rPr>
                <w:b/>
                <w:bCs/>
                <w:kern w:val="2"/>
                <w:szCs w:val="24"/>
              </w:rPr>
              <w:t>防渗区</w:t>
            </w:r>
          </w:p>
        </w:tc>
        <w:tc>
          <w:tcPr>
            <w:tcW w:w="1418" w:type="dxa"/>
            <w:vAlign w:val="center"/>
          </w:tcPr>
          <w:p>
            <w:pPr>
              <w:pStyle w:val="62"/>
              <w:rPr>
                <w:kern w:val="2"/>
                <w:szCs w:val="24"/>
              </w:rPr>
            </w:pPr>
            <w:r>
              <w:rPr>
                <w:kern w:val="2"/>
                <w:szCs w:val="24"/>
              </w:rPr>
              <w:t>一般固废堆放点、生活垃圾暂存点</w:t>
            </w:r>
            <w:r>
              <w:rPr>
                <w:rFonts w:hint="eastAsia"/>
                <w:kern w:val="2"/>
                <w:szCs w:val="24"/>
              </w:rPr>
              <w:t>、生产车间</w:t>
            </w:r>
          </w:p>
        </w:tc>
        <w:tc>
          <w:tcPr>
            <w:tcW w:w="773" w:type="dxa"/>
            <w:vAlign w:val="center"/>
          </w:tcPr>
          <w:p>
            <w:pPr>
              <w:pStyle w:val="62"/>
              <w:rPr>
                <w:kern w:val="2"/>
                <w:szCs w:val="24"/>
              </w:rPr>
            </w:pPr>
            <w:r>
              <w:rPr>
                <w:kern w:val="2"/>
                <w:szCs w:val="24"/>
              </w:rPr>
              <w:t>SS、COD</w:t>
            </w:r>
          </w:p>
        </w:tc>
        <w:tc>
          <w:tcPr>
            <w:tcW w:w="3621" w:type="dxa"/>
            <w:vAlign w:val="center"/>
          </w:tcPr>
          <w:p>
            <w:pPr>
              <w:pStyle w:val="62"/>
              <w:rPr>
                <w:kern w:val="2"/>
                <w:szCs w:val="24"/>
              </w:rPr>
            </w:pPr>
            <w:r>
              <w:rPr>
                <w:kern w:val="2"/>
                <w:szCs w:val="24"/>
              </w:rPr>
              <w:t>生产车间地面用防渗混凝土，通过在抗渗钢纤维混凝土面层中掺水泥基渗透结晶型防水剂，其下铺砌砂石基层，原土夯实达到防渗的目的。</w:t>
            </w:r>
          </w:p>
        </w:tc>
        <w:tc>
          <w:tcPr>
            <w:tcW w:w="2799" w:type="dxa"/>
            <w:vAlign w:val="center"/>
          </w:tcPr>
          <w:p>
            <w:pPr>
              <w:pStyle w:val="62"/>
              <w:rPr>
                <w:kern w:val="2"/>
                <w:szCs w:val="24"/>
              </w:rPr>
            </w:pPr>
            <w:r>
              <w:rPr>
                <w:kern w:val="2"/>
                <w:szCs w:val="24"/>
              </w:rPr>
              <w:t>《一般工业固体废物贮存、处置场污染控制标准》（GB18599-2001）及2013年修改单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75" w:type="dxa"/>
            <w:vAlign w:val="center"/>
          </w:tcPr>
          <w:p>
            <w:pPr>
              <w:pStyle w:val="62"/>
              <w:rPr>
                <w:b/>
                <w:bCs/>
                <w:kern w:val="2"/>
                <w:szCs w:val="24"/>
              </w:rPr>
            </w:pPr>
            <w:r>
              <w:rPr>
                <w:rFonts w:hint="eastAsia"/>
                <w:b/>
                <w:bCs/>
                <w:kern w:val="2"/>
                <w:szCs w:val="24"/>
              </w:rPr>
              <w:t>简单防渗区</w:t>
            </w:r>
          </w:p>
        </w:tc>
        <w:tc>
          <w:tcPr>
            <w:tcW w:w="1418" w:type="dxa"/>
            <w:vAlign w:val="center"/>
          </w:tcPr>
          <w:p>
            <w:pPr>
              <w:pStyle w:val="62"/>
              <w:rPr>
                <w:kern w:val="2"/>
                <w:szCs w:val="24"/>
              </w:rPr>
            </w:pPr>
            <w:r>
              <w:t>办公楼、锅炉房、</w:t>
            </w:r>
            <w:r>
              <w:rPr>
                <w:rFonts w:hint="eastAsia"/>
              </w:rPr>
              <w:t>停车场、</w:t>
            </w:r>
            <w:r>
              <w:t>配电室</w:t>
            </w:r>
          </w:p>
        </w:tc>
        <w:tc>
          <w:tcPr>
            <w:tcW w:w="773" w:type="dxa"/>
            <w:vAlign w:val="center"/>
          </w:tcPr>
          <w:p>
            <w:pPr>
              <w:pStyle w:val="62"/>
              <w:rPr>
                <w:kern w:val="2"/>
                <w:szCs w:val="24"/>
              </w:rPr>
            </w:pPr>
            <w:r>
              <w:rPr>
                <w:rFonts w:hint="eastAsia"/>
                <w:kern w:val="2"/>
                <w:szCs w:val="24"/>
              </w:rPr>
              <w:t>/</w:t>
            </w:r>
          </w:p>
        </w:tc>
        <w:tc>
          <w:tcPr>
            <w:tcW w:w="3621" w:type="dxa"/>
            <w:vAlign w:val="center"/>
          </w:tcPr>
          <w:p>
            <w:pPr>
              <w:pStyle w:val="62"/>
              <w:rPr>
                <w:kern w:val="2"/>
                <w:szCs w:val="24"/>
              </w:rPr>
            </w:pPr>
            <w:r>
              <w:rPr>
                <w:rFonts w:hint="eastAsia"/>
                <w:kern w:val="2"/>
                <w:szCs w:val="24"/>
              </w:rPr>
              <w:t>一般硬化</w:t>
            </w:r>
          </w:p>
        </w:tc>
        <w:tc>
          <w:tcPr>
            <w:tcW w:w="2799" w:type="dxa"/>
            <w:vAlign w:val="center"/>
          </w:tcPr>
          <w:p>
            <w:pPr>
              <w:pStyle w:val="62"/>
              <w:rPr>
                <w:kern w:val="2"/>
                <w:szCs w:val="24"/>
              </w:rPr>
            </w:pPr>
            <w:r>
              <w:rPr>
                <w:rFonts w:hint="eastAsia"/>
                <w:kern w:val="2"/>
                <w:szCs w:val="24"/>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健立健全安全环境管理制度</w:t>
      </w:r>
      <w:r>
        <w:rPr>
          <w:rFonts w:hint="eastAsia"/>
          <w:b/>
          <w:bCs/>
          <w:color w:val="000000" w:themeColor="text1"/>
          <w:sz w:val="24"/>
          <w:lang w:eastAsia="zh-CN"/>
          <w14:textFill>
            <w14:solidFill>
              <w14:schemeClr w14:val="tx1"/>
            </w14:solidFill>
          </w14:textFill>
        </w:rPr>
        <w:t>：</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bookmarkStart w:id="235" w:name="_Toc11042"/>
      <w:r>
        <w:rPr>
          <w:rFonts w:hint="eastAsia" w:ascii="宋体" w:hAnsi="宋体" w:cs="宋体"/>
          <w:b w:val="0"/>
          <w:bCs/>
          <w:sz w:val="24"/>
          <w:u w:val="none"/>
        </w:rPr>
        <w:t>①</w:t>
      </w:r>
      <w:r>
        <w:rPr>
          <w:b w:val="0"/>
          <w:bCs/>
          <w:sz w:val="24"/>
          <w:u w:val="none"/>
        </w:rPr>
        <w:t>加强员工的安全、环保知识和风险事故安全教育，提高职工的风险意识，减少风险发生的概率。</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r>
        <w:rPr>
          <w:rFonts w:hint="eastAsia" w:ascii="宋体" w:hAnsi="宋体" w:cs="宋体"/>
          <w:b w:val="0"/>
          <w:bCs/>
          <w:sz w:val="24"/>
          <w:u w:val="none"/>
        </w:rPr>
        <w:t>②</w:t>
      </w:r>
      <w:r>
        <w:rPr>
          <w:b w:val="0"/>
          <w:bCs/>
          <w:sz w:val="24"/>
          <w:u w:val="none"/>
        </w:rPr>
        <w:t>企业要建立环境管理机构，健立健全各项环境管理制度，制定环境管理实施计划，对各项污染物、污染源进行定期监测，记录运行及监测数据；汲取同类型企业先进操作经验和污染控制技术，建立信息反馈中心，对生产中环保问题及时反馈。</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r>
        <w:rPr>
          <w:rFonts w:hint="eastAsia" w:ascii="宋体" w:hAnsi="宋体" w:cs="宋体"/>
          <w:b w:val="0"/>
          <w:bCs/>
          <w:sz w:val="24"/>
          <w:u w:val="none"/>
        </w:rPr>
        <w:t>③</w:t>
      </w:r>
      <w:r>
        <w:rPr>
          <w:b w:val="0"/>
          <w:bCs/>
          <w:sz w:val="24"/>
          <w:u w:val="none"/>
        </w:rPr>
        <w:t>加强对安全管理的领导，建立健全各项安全、消防管理网络。建立健全各项安全管理制度，如：防火、防爆、防雷电、防静电制度；岗位责任制、安全教育、培训制度；原料及成品的运输、储存制度；设备、管道等设施的定期检验、维护、保养、检修制度；以及安全操作规程等。</w:t>
      </w:r>
    </w:p>
    <w:p>
      <w:pPr>
        <w:pStyle w:val="63"/>
        <w:keepNext w:val="0"/>
        <w:keepLines w:val="0"/>
        <w:pageBreakBefore w:val="0"/>
        <w:widowControl w:val="0"/>
        <w:kinsoku/>
        <w:wordWrap/>
        <w:overflowPunct/>
        <w:topLinePunct w:val="0"/>
        <w:autoSpaceDE/>
        <w:autoSpaceDN/>
        <w:bidi w:val="0"/>
        <w:adjustRightInd/>
        <w:snapToGrid/>
        <w:spacing w:line="520" w:lineRule="exact"/>
        <w:ind w:firstLine="482"/>
        <w:textAlignment w:val="auto"/>
        <w:rPr>
          <w:b w:val="0"/>
          <w:bCs/>
          <w:sz w:val="24"/>
          <w:u w:val="none"/>
        </w:rPr>
      </w:pPr>
      <w:r>
        <w:rPr>
          <w:rFonts w:hint="eastAsia" w:ascii="宋体" w:hAnsi="宋体" w:cs="宋体"/>
          <w:b w:val="0"/>
          <w:bCs/>
          <w:sz w:val="24"/>
          <w:u w:val="none"/>
        </w:rPr>
        <w:t>④</w:t>
      </w:r>
      <w:r>
        <w:rPr>
          <w:b w:val="0"/>
          <w:bCs/>
          <w:sz w:val="24"/>
          <w:u w:val="none"/>
        </w:rPr>
        <w:t>按照项目可能存在的环境风险事故，编写环境突发事故应急救援预案，并且制定相应的培训计划和演练计划。</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b/>
          <w:bCs/>
          <w:color w:val="000000" w:themeColor="text1"/>
          <w:sz w:val="24"/>
          <w:lang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环境风险应急预案</w:t>
      </w:r>
      <w:r>
        <w:rPr>
          <w:rFonts w:hint="eastAsia"/>
          <w:b/>
          <w:bCs/>
          <w:color w:val="000000" w:themeColor="text1"/>
          <w:sz w:val="24"/>
          <w:lang w:eastAsia="zh-CN"/>
          <w14:textFill>
            <w14:solidFill>
              <w14:schemeClr w14:val="tx1"/>
            </w14:solidFill>
          </w14:textFill>
        </w:rPr>
        <w:t>：</w:t>
      </w:r>
    </w:p>
    <w:p>
      <w:pPr>
        <w:pStyle w:val="63"/>
        <w:keepNext w:val="0"/>
        <w:keepLines w:val="0"/>
        <w:pageBreakBefore w:val="0"/>
        <w:widowControl w:val="0"/>
        <w:kinsoku/>
        <w:wordWrap/>
        <w:overflowPunct/>
        <w:topLinePunct w:val="0"/>
        <w:autoSpaceDE/>
        <w:autoSpaceDN/>
        <w:bidi w:val="0"/>
        <w:adjustRightInd/>
        <w:snapToGrid/>
        <w:spacing w:line="520" w:lineRule="exact"/>
        <w:ind w:firstLine="480"/>
        <w:textAlignment w:val="auto"/>
        <w:rPr>
          <w:sz w:val="24"/>
        </w:rPr>
      </w:pPr>
      <w:r>
        <w:rPr>
          <w:sz w:val="24"/>
        </w:rPr>
        <w:t>制定环境风险事故应急预案的目的是为了在发生风险事故时，能以最快的速度发挥最大的效能，有序的实施救援，尽快控制事态的发展，降低事故造成的危害，减少事故造成的损失。</w:t>
      </w:r>
    </w:p>
    <w:p>
      <w:pPr>
        <w:pStyle w:val="63"/>
        <w:keepNext w:val="0"/>
        <w:keepLines w:val="0"/>
        <w:pageBreakBefore w:val="0"/>
        <w:widowControl w:val="0"/>
        <w:kinsoku/>
        <w:wordWrap/>
        <w:overflowPunct/>
        <w:topLinePunct w:val="0"/>
        <w:autoSpaceDE/>
        <w:autoSpaceDN/>
        <w:bidi w:val="0"/>
        <w:adjustRightInd/>
        <w:snapToGrid/>
        <w:spacing w:line="520" w:lineRule="exact"/>
        <w:ind w:firstLine="480"/>
        <w:textAlignment w:val="auto"/>
        <w:rPr>
          <w:sz w:val="24"/>
        </w:rPr>
      </w:pPr>
      <w:r>
        <w:rPr>
          <w:sz w:val="24"/>
        </w:rPr>
        <w:t>本次环评仅对应急预案提出要求，并对主要风险提纲挈领的提出应急措施和设施要求。评价要求，项目实施后，企业应自行编制或委托专业机构编制环境风险事故应急预案，组织专家评审，并报环保部门备案。</w:t>
      </w:r>
    </w:p>
    <w:p>
      <w:pPr>
        <w:pStyle w:val="4"/>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236" w:name="_Toc32532"/>
      <w:r>
        <w:rPr>
          <w:rFonts w:hint="eastAsia" w:cs="Times New Roman"/>
          <w:szCs w:val="28"/>
        </w:rPr>
        <w:t xml:space="preserve">4.2.2 </w:t>
      </w:r>
      <w:r>
        <w:rPr>
          <w:rFonts w:cs="Times New Roman"/>
          <w:szCs w:val="28"/>
        </w:rPr>
        <w:t>在线监测装置</w:t>
      </w:r>
      <w:bookmarkEnd w:id="226"/>
      <w:bookmarkEnd w:id="227"/>
      <w:bookmarkEnd w:id="228"/>
      <w:bookmarkEnd w:id="229"/>
      <w:bookmarkEnd w:id="230"/>
      <w:bookmarkEnd w:id="231"/>
      <w:bookmarkEnd w:id="232"/>
      <w:bookmarkEnd w:id="233"/>
      <w:bookmarkEnd w:id="234"/>
      <w:bookmarkEnd w:id="235"/>
      <w:bookmarkEnd w:id="236"/>
    </w:p>
    <w:p>
      <w:pPr>
        <w:pageBreakBefore w:val="0"/>
        <w:widowControl w:val="0"/>
        <w:kinsoku/>
        <w:wordWrap/>
        <w:overflowPunct/>
        <w:topLinePunct w:val="0"/>
        <w:autoSpaceDE/>
        <w:autoSpaceDN/>
        <w:bidi w:val="0"/>
        <w:adjustRightInd/>
        <w:snapToGrid/>
        <w:spacing w:line="520" w:lineRule="exact"/>
        <w:ind w:firstLine="480"/>
        <w:textAlignment w:val="auto"/>
        <w:rPr>
          <w:rFonts w:hint="default" w:cs="Times New Roman" w:eastAsiaTheme="minorEastAsia"/>
          <w:lang w:val="en-US" w:eastAsia="zh-CN"/>
        </w:rPr>
      </w:pPr>
      <w:r>
        <w:rPr>
          <w:rFonts w:cs="Times New Roman"/>
        </w:rPr>
        <w:t>本项目</w:t>
      </w:r>
      <w:r>
        <w:rPr>
          <w:rFonts w:hint="eastAsia" w:cs="Times New Roman"/>
          <w:lang w:val="en-US" w:eastAsia="zh-CN"/>
        </w:rPr>
        <w:t>单梁涂装房排气筒已按照要求安装自动在线监测设施，其余排气筒</w:t>
      </w:r>
    </w:p>
    <w:p>
      <w:pPr>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cs="Times New Roman"/>
          <w:bCs/>
        </w:rPr>
      </w:pPr>
      <w:r>
        <w:rPr>
          <w:rFonts w:cs="Times New Roman"/>
        </w:rPr>
        <w:t>在今后环境管理中，按照相关要求安装到位。</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cs="Times New Roman"/>
        </w:rPr>
      </w:pPr>
      <w:bookmarkStart w:id="237" w:name="_Toc24923"/>
      <w:bookmarkStart w:id="238" w:name="_Toc3466"/>
      <w:bookmarkStart w:id="239" w:name="_Toc13138"/>
      <w:bookmarkStart w:id="240" w:name="_Toc12320"/>
      <w:bookmarkStart w:id="241" w:name="_Toc26127"/>
      <w:bookmarkStart w:id="242" w:name="_Toc27402"/>
      <w:bookmarkStart w:id="243" w:name="_Toc22558"/>
      <w:bookmarkStart w:id="244" w:name="_Toc3875"/>
      <w:bookmarkStart w:id="245" w:name="_Toc26945"/>
      <w:bookmarkStart w:id="246" w:name="_Toc23251"/>
      <w:bookmarkStart w:id="247" w:name="_Toc13878"/>
      <w:r>
        <w:rPr>
          <w:rFonts w:cs="Times New Roman"/>
        </w:rPr>
        <w:t>4.3 环保设施投资及三同时落实情况</w:t>
      </w:r>
      <w:bookmarkEnd w:id="237"/>
      <w:bookmarkEnd w:id="238"/>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本项目实际总投资</w:t>
      </w:r>
      <w:r>
        <w:rPr>
          <w:rFonts w:hint="eastAsia" w:cs="Times New Roman"/>
          <w:lang w:val="en-US" w:eastAsia="zh-CN"/>
        </w:rPr>
        <w:t>6400</w:t>
      </w:r>
      <w:r>
        <w:rPr>
          <w:rFonts w:cs="Times New Roman"/>
        </w:rPr>
        <w:t>万元，环保投资</w:t>
      </w:r>
      <w:r>
        <w:rPr>
          <w:rFonts w:hint="eastAsia" w:cs="Times New Roman"/>
          <w:lang w:val="en-US" w:eastAsia="zh-CN"/>
        </w:rPr>
        <w:t>1000</w:t>
      </w:r>
      <w:r>
        <w:rPr>
          <w:rFonts w:cs="Times New Roman"/>
        </w:rPr>
        <w:t>万元，环保投资占总投资</w:t>
      </w:r>
      <w:r>
        <w:rPr>
          <w:rFonts w:hint="eastAsia" w:cs="Times New Roman"/>
          <w:lang w:val="en-US" w:eastAsia="zh-CN"/>
        </w:rPr>
        <w:t>17.19</w:t>
      </w:r>
      <w:r>
        <w:rPr>
          <w:rFonts w:cs="Times New Roman"/>
        </w:rPr>
        <w:t>%。建设项目在建设过程中，基本能够做到环保设施“三同时”。</w:t>
      </w:r>
    </w:p>
    <w:p>
      <w:pPr>
        <w:pageBreakBefore w:val="0"/>
        <w:widowControl w:val="0"/>
        <w:kinsoku/>
        <w:wordWrap/>
        <w:overflowPunct/>
        <w:topLinePunct w:val="0"/>
        <w:autoSpaceDE/>
        <w:autoSpaceDN/>
        <w:bidi w:val="0"/>
        <w:adjustRightInd/>
        <w:snapToGrid/>
        <w:spacing w:line="520" w:lineRule="exact"/>
        <w:ind w:firstLine="482"/>
        <w:jc w:val="center"/>
        <w:textAlignment w:val="auto"/>
        <w:rPr>
          <w:rFonts w:cs="Times New Roman"/>
        </w:rPr>
      </w:pPr>
      <w:r>
        <w:rPr>
          <w:rFonts w:cs="Times New Roman"/>
          <w:b/>
          <w:bCs/>
        </w:rPr>
        <w:t>表4-</w:t>
      </w:r>
      <w:r>
        <w:rPr>
          <w:rFonts w:hint="eastAsia" w:cs="Times New Roman"/>
          <w:b/>
          <w:bCs/>
          <w:lang w:val="en-US" w:eastAsia="zh-CN"/>
        </w:rPr>
        <w:t>4</w:t>
      </w:r>
      <w:r>
        <w:rPr>
          <w:rFonts w:cs="Times New Roman"/>
          <w:b/>
          <w:bCs/>
        </w:rPr>
        <w:t>环保设施环评、实际建设情况一览表</w:t>
      </w:r>
    </w:p>
    <w:tbl>
      <w:tblPr>
        <w:tblStyle w:val="2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2"/>
        <w:gridCol w:w="1428"/>
        <w:gridCol w:w="2433"/>
        <w:gridCol w:w="2509"/>
        <w:gridCol w:w="1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项目名称</w:t>
            </w:r>
          </w:p>
        </w:tc>
        <w:tc>
          <w:tcPr>
            <w:tcW w:w="1428" w:type="dxa"/>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产污环节</w:t>
            </w:r>
          </w:p>
        </w:tc>
        <w:tc>
          <w:tcPr>
            <w:tcW w:w="2433" w:type="dxa"/>
            <w:vAlign w:val="center"/>
          </w:tcPr>
          <w:p>
            <w:pPr>
              <w:spacing w:line="240" w:lineRule="auto"/>
              <w:ind w:firstLine="0" w:firstLineChars="0"/>
              <w:jc w:val="center"/>
              <w:rPr>
                <w:rFonts w:cs="Times New Roman"/>
                <w:b/>
                <w:bCs/>
                <w:color w:val="auto"/>
                <w:sz w:val="21"/>
                <w:szCs w:val="21"/>
              </w:rPr>
            </w:pPr>
            <w:r>
              <w:rPr>
                <w:rFonts w:cs="Times New Roman"/>
                <w:b/>
                <w:bCs/>
                <w:color w:val="auto"/>
                <w:sz w:val="21"/>
                <w:szCs w:val="21"/>
              </w:rPr>
              <w:t>环评</w:t>
            </w:r>
          </w:p>
        </w:tc>
        <w:tc>
          <w:tcPr>
            <w:tcW w:w="2509" w:type="dxa"/>
            <w:vAlign w:val="center"/>
          </w:tcPr>
          <w:p>
            <w:pPr>
              <w:spacing w:line="240" w:lineRule="auto"/>
              <w:ind w:firstLine="0" w:firstLineChars="0"/>
              <w:jc w:val="center"/>
              <w:rPr>
                <w:rFonts w:cs="Times New Roman"/>
                <w:b/>
                <w:bCs/>
                <w:color w:val="auto"/>
                <w:sz w:val="21"/>
                <w:szCs w:val="21"/>
              </w:rPr>
            </w:pPr>
            <w:r>
              <w:rPr>
                <w:rFonts w:cs="Times New Roman"/>
                <w:b/>
                <w:bCs/>
                <w:color w:val="auto"/>
                <w:sz w:val="21"/>
                <w:szCs w:val="21"/>
              </w:rPr>
              <w:t>实际建设</w:t>
            </w:r>
          </w:p>
        </w:tc>
        <w:tc>
          <w:tcPr>
            <w:tcW w:w="1460" w:type="dxa"/>
            <w:vAlign w:val="center"/>
          </w:tcPr>
          <w:p>
            <w:pPr>
              <w:spacing w:line="240" w:lineRule="auto"/>
              <w:ind w:firstLine="0" w:firstLineChars="0"/>
              <w:jc w:val="center"/>
              <w:rPr>
                <w:rFonts w:cs="Times New Roman"/>
                <w:b/>
                <w:bCs/>
                <w:color w:val="auto"/>
                <w:sz w:val="21"/>
                <w:szCs w:val="21"/>
              </w:rPr>
            </w:pPr>
            <w:r>
              <w:rPr>
                <w:rFonts w:cs="Times New Roman"/>
                <w:b/>
                <w:bCs/>
                <w:color w:val="auto"/>
                <w:sz w:val="21"/>
                <w:szCs w:val="21"/>
              </w:rPr>
              <w:t>落实“三同时”情况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tcBorders>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废水</w:t>
            </w:r>
          </w:p>
          <w:p>
            <w:pPr>
              <w:spacing w:line="240" w:lineRule="auto"/>
              <w:ind w:firstLine="0" w:firstLineChars="0"/>
              <w:jc w:val="center"/>
              <w:rPr>
                <w:rFonts w:cs="Times New Roman"/>
                <w:color w:val="auto"/>
                <w:sz w:val="21"/>
                <w:szCs w:val="21"/>
              </w:rPr>
            </w:pPr>
            <w:r>
              <w:rPr>
                <w:rFonts w:hint="eastAsia" w:cs="Times New Roman"/>
                <w:color w:val="auto"/>
                <w:sz w:val="21"/>
                <w:szCs w:val="21"/>
              </w:rPr>
              <w:t>处理</w:t>
            </w:r>
          </w:p>
        </w:tc>
        <w:tc>
          <w:tcPr>
            <w:tcW w:w="1428" w:type="dxa"/>
            <w:tcBorders>
              <w:left w:val="single" w:color="auto" w:sz="4" w:space="0"/>
            </w:tcBorders>
            <w:shd w:val="clear" w:color="auto" w:fill="auto"/>
            <w:vAlign w:val="center"/>
          </w:tcPr>
          <w:p>
            <w:pPr>
              <w:spacing w:line="240" w:lineRule="auto"/>
              <w:ind w:firstLine="0" w:firstLineChars="0"/>
              <w:jc w:val="center"/>
              <w:rPr>
                <w:rFonts w:hint="eastAsia"/>
                <w:bCs/>
                <w:color w:val="auto"/>
                <w:sz w:val="21"/>
                <w:szCs w:val="21"/>
                <w:lang w:val="en-US" w:eastAsia="zh-CN"/>
              </w:rPr>
            </w:pPr>
            <w:r>
              <w:rPr>
                <w:rFonts w:hint="eastAsia"/>
                <w:bCs/>
                <w:color w:val="auto"/>
                <w:sz w:val="21"/>
                <w:szCs w:val="21"/>
                <w:lang w:val="en-US" w:eastAsia="zh-CN"/>
              </w:rPr>
              <w:t>办公生活</w:t>
            </w:r>
          </w:p>
          <w:p>
            <w:pPr>
              <w:spacing w:line="240" w:lineRule="auto"/>
              <w:ind w:firstLine="0" w:firstLineChars="0"/>
              <w:jc w:val="center"/>
              <w:rPr>
                <w:rFonts w:hint="default" w:cs="Times New Roman" w:eastAsiaTheme="minorEastAsia"/>
                <w:color w:val="auto"/>
                <w:sz w:val="21"/>
                <w:szCs w:val="21"/>
                <w:lang w:val="en-US" w:eastAsia="zh-CN"/>
              </w:rPr>
            </w:pPr>
            <w:r>
              <w:rPr>
                <w:rFonts w:hint="eastAsia"/>
                <w:bCs/>
                <w:color w:val="auto"/>
                <w:sz w:val="21"/>
                <w:szCs w:val="21"/>
                <w:lang w:val="en-US" w:eastAsia="zh-CN"/>
              </w:rPr>
              <w:t>污水</w:t>
            </w:r>
          </w:p>
        </w:tc>
        <w:tc>
          <w:tcPr>
            <w:tcW w:w="2433"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采用隔油池+化粪池处理后，排入长垣市第二污水处理厂进一步</w:t>
            </w:r>
          </w:p>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处理。</w:t>
            </w:r>
          </w:p>
        </w:tc>
        <w:tc>
          <w:tcPr>
            <w:tcW w:w="2509"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采用隔油池+化粪池处理后，排入长垣市第二污水处理厂进一步处理。</w:t>
            </w:r>
          </w:p>
        </w:tc>
        <w:tc>
          <w:tcPr>
            <w:tcW w:w="1460"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废气</w:t>
            </w:r>
          </w:p>
          <w:p>
            <w:pPr>
              <w:spacing w:line="240" w:lineRule="auto"/>
              <w:ind w:firstLine="0" w:firstLineChars="0"/>
              <w:jc w:val="center"/>
              <w:rPr>
                <w:rFonts w:cs="Times New Roman"/>
                <w:color w:val="auto"/>
                <w:sz w:val="21"/>
                <w:szCs w:val="21"/>
              </w:rPr>
            </w:pPr>
            <w:r>
              <w:rPr>
                <w:rFonts w:hint="eastAsia" w:cs="Times New Roman"/>
                <w:color w:val="auto"/>
                <w:sz w:val="21"/>
                <w:szCs w:val="21"/>
              </w:rPr>
              <w:t>治理</w:t>
            </w: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bCs/>
                <w:color w:val="auto"/>
                <w:sz w:val="21"/>
                <w:szCs w:val="21"/>
                <w:lang w:val="en-US" w:eastAsia="zh-CN"/>
              </w:rPr>
            </w:pPr>
            <w:r>
              <w:rPr>
                <w:rFonts w:hint="eastAsia" w:cs="Times New Roman"/>
                <w:color w:val="auto"/>
                <w:sz w:val="21"/>
                <w:szCs w:val="21"/>
                <w:lang w:val="en-US" w:eastAsia="zh-CN"/>
              </w:rPr>
              <w:t>抛丸粉尘</w:t>
            </w:r>
          </w:p>
        </w:tc>
        <w:tc>
          <w:tcPr>
            <w:tcW w:w="243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4套抛丸机配备4套袋式除尘器，处理效率达到99%以上，由1根15m排气筒排放。</w:t>
            </w:r>
          </w:p>
        </w:tc>
        <w:tc>
          <w:tcPr>
            <w:tcW w:w="2509" w:type="dxa"/>
            <w:tcBorders>
              <w:bottom w:val="single" w:color="auto" w:sz="4" w:space="0"/>
            </w:tcBorders>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1套抛丸机配备1套袋式除尘器，废气经处理后由</w:t>
            </w:r>
            <w:r>
              <w:rPr>
                <w:rFonts w:hint="eastAsia" w:cs="Times New Roman"/>
                <w:color w:val="auto"/>
                <w:sz w:val="21"/>
                <w:szCs w:val="21"/>
              </w:rPr>
              <w:t>1根15m排气筒排放。</w:t>
            </w:r>
          </w:p>
        </w:tc>
        <w:tc>
          <w:tcPr>
            <w:tcW w:w="1460" w:type="dxa"/>
            <w:vAlign w:val="center"/>
          </w:tcPr>
          <w:p>
            <w:pPr>
              <w:spacing w:line="240" w:lineRule="auto"/>
              <w:ind w:firstLine="0" w:firstLineChars="0"/>
              <w:jc w:val="center"/>
              <w:rPr>
                <w:rFonts w:hint="eastAsia" w:cs="Times New Roman" w:eastAsiaTheme="minorEastAsia"/>
                <w:color w:val="auto"/>
                <w:sz w:val="21"/>
                <w:szCs w:val="21"/>
                <w:lang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auto"/>
                <w:sz w:val="21"/>
                <w:szCs w:val="21"/>
              </w:rPr>
            </w:pP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eastAsiaTheme="minorEastAsia"/>
                <w:bCs/>
                <w:color w:val="auto"/>
                <w:sz w:val="21"/>
                <w:szCs w:val="21"/>
                <w:lang w:val="en-US" w:eastAsia="zh-CN"/>
              </w:rPr>
            </w:pPr>
            <w:r>
              <w:rPr>
                <w:rFonts w:hint="eastAsia"/>
                <w:bCs/>
                <w:color w:val="auto"/>
                <w:sz w:val="21"/>
                <w:szCs w:val="21"/>
                <w:lang w:val="en-US" w:eastAsia="zh-CN"/>
              </w:rPr>
              <w:t>焊接烟尘</w:t>
            </w:r>
          </w:p>
        </w:tc>
        <w:tc>
          <w:tcPr>
            <w:tcW w:w="243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单梁车间、双梁车间分别安装焊烟净化系统，焊接工序必须在固定位置、固定工位进行焊接，通过固定式集气罩对焊接烟尘集中收集后经过滤筒式除尘器净化后通过15m高排气筒达标排放（共3套焊接烟尘净化系统）</w:t>
            </w:r>
          </w:p>
        </w:tc>
        <w:tc>
          <w:tcPr>
            <w:tcW w:w="2509" w:type="dxa"/>
            <w:tcBorders>
              <w:top w:val="single" w:color="auto" w:sz="4" w:space="0"/>
              <w:bottom w:val="single" w:color="auto" w:sz="4" w:space="0"/>
            </w:tcBorders>
            <w:vAlign w:val="center"/>
          </w:tcPr>
          <w:p>
            <w:pPr>
              <w:spacing w:line="240" w:lineRule="auto"/>
              <w:ind w:firstLine="0" w:firstLineChars="0"/>
              <w:jc w:val="both"/>
              <w:rPr>
                <w:rFonts w:hint="default" w:cs="Times New Roman"/>
                <w:color w:val="auto"/>
                <w:sz w:val="21"/>
                <w:szCs w:val="21"/>
                <w:lang w:val="en-US"/>
              </w:rPr>
            </w:pPr>
            <w:r>
              <w:rPr>
                <w:rFonts w:hint="eastAsia" w:cs="Times New Roman"/>
                <w:color w:val="auto"/>
                <w:sz w:val="21"/>
                <w:szCs w:val="21"/>
                <w:lang w:val="en-US" w:eastAsia="zh-CN"/>
              </w:rPr>
              <w:t>单梁车间设置15台滤筒除尘器处理后经1根15m高排气筒排放；双梁车间设置8台滤筒除尘器处理后经1根15m高排气筒排放。</w:t>
            </w:r>
          </w:p>
        </w:tc>
        <w:tc>
          <w:tcPr>
            <w:tcW w:w="1460" w:type="dxa"/>
            <w:vAlign w:val="center"/>
          </w:tcPr>
          <w:p>
            <w:pPr>
              <w:spacing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0000FF"/>
                <w:sz w:val="21"/>
                <w:szCs w:val="21"/>
              </w:rPr>
            </w:pP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eastAsiaTheme="minorEastAsia"/>
                <w:bCs/>
                <w:color w:val="auto"/>
                <w:sz w:val="21"/>
                <w:szCs w:val="21"/>
                <w:lang w:val="en-US" w:eastAsia="zh-CN"/>
              </w:rPr>
            </w:pPr>
            <w:r>
              <w:rPr>
                <w:rFonts w:hint="eastAsia"/>
                <w:bCs/>
                <w:color w:val="auto"/>
                <w:sz w:val="21"/>
                <w:szCs w:val="21"/>
                <w:lang w:val="en-US" w:eastAsia="zh-CN"/>
              </w:rPr>
              <w:t>切割粉尘</w:t>
            </w:r>
          </w:p>
        </w:tc>
        <w:tc>
          <w:tcPr>
            <w:tcW w:w="2433"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等离子切割废气经过切割平台，进入吸风道，后进入火花铺集器后进入等离子切割除尘系统处理后经过15m高排气筒达标排放。（双梁车间配备2套等离子切割除尘系统）</w:t>
            </w:r>
          </w:p>
        </w:tc>
        <w:tc>
          <w:tcPr>
            <w:tcW w:w="2509" w:type="dxa"/>
            <w:tcBorders>
              <w:top w:val="single" w:color="auto" w:sz="4" w:space="0"/>
              <w:bottom w:val="single" w:color="auto" w:sz="4" w:space="0"/>
            </w:tcBorders>
            <w:vAlign w:val="center"/>
          </w:tcPr>
          <w:p>
            <w:pPr>
              <w:spacing w:line="240" w:lineRule="auto"/>
              <w:ind w:firstLine="0" w:firstLineChars="0"/>
              <w:jc w:val="center"/>
              <w:rPr>
                <w:rFonts w:hint="default" w:cs="Times New Roman"/>
                <w:color w:val="auto"/>
                <w:sz w:val="21"/>
                <w:szCs w:val="21"/>
                <w:lang w:val="en-US"/>
              </w:rPr>
            </w:pPr>
            <w:r>
              <w:rPr>
                <w:rFonts w:hint="eastAsia" w:cs="Times New Roman"/>
                <w:color w:val="auto"/>
                <w:sz w:val="21"/>
                <w:szCs w:val="21"/>
                <w:lang w:val="en-US" w:eastAsia="zh-CN"/>
              </w:rPr>
              <w:t>双梁车间切割工序经5台滤筒除尘器处理后经5根15m高排气筒排放</w:t>
            </w:r>
          </w:p>
        </w:tc>
        <w:tc>
          <w:tcPr>
            <w:tcW w:w="1460"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8"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0000FF"/>
                <w:sz w:val="21"/>
                <w:szCs w:val="21"/>
              </w:rPr>
            </w:pPr>
          </w:p>
        </w:tc>
        <w:tc>
          <w:tcPr>
            <w:tcW w:w="1428" w:type="dxa"/>
            <w:tcBorders>
              <w:left w:val="single" w:color="auto" w:sz="4" w:space="0"/>
            </w:tcBorders>
            <w:shd w:val="clear" w:color="auto" w:fill="auto"/>
            <w:vAlign w:val="center"/>
          </w:tcPr>
          <w:p>
            <w:pPr>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涂装工序</w:t>
            </w:r>
          </w:p>
        </w:tc>
        <w:tc>
          <w:tcPr>
            <w:tcW w:w="2433"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15个未配套建设低温催化燃烧装置的喷漆房产生的废活性炭定期送往1#、4#和5#喷漆房废气处理系统进行再生处理。</w:t>
            </w:r>
          </w:p>
        </w:tc>
        <w:tc>
          <w:tcPr>
            <w:tcW w:w="2509" w:type="dxa"/>
            <w:tcBorders>
              <w:top w:val="single" w:color="auto" w:sz="4" w:space="0"/>
            </w:tcBorders>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共设置6个涂装房，涂装废气分别经5套干式过滤棉+活性炭吸附+脱附催化燃烧装置处理后通过5根15m高排气筒排放。</w:t>
            </w:r>
          </w:p>
          <w:p>
            <w:pPr>
              <w:spacing w:line="240" w:lineRule="auto"/>
              <w:ind w:firstLine="0" w:firstLineChars="0"/>
              <w:jc w:val="center"/>
              <w:rPr>
                <w:rFonts w:hint="eastAsia" w:cs="Times New Roman"/>
                <w:color w:val="auto"/>
                <w:sz w:val="21"/>
                <w:szCs w:val="21"/>
              </w:rPr>
            </w:pPr>
          </w:p>
        </w:tc>
        <w:tc>
          <w:tcPr>
            <w:tcW w:w="1460"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0000FF"/>
                <w:sz w:val="21"/>
                <w:szCs w:val="21"/>
              </w:rPr>
            </w:pPr>
          </w:p>
        </w:tc>
        <w:tc>
          <w:tcPr>
            <w:tcW w:w="1428" w:type="dxa"/>
            <w:tcBorders>
              <w:left w:val="single" w:color="auto" w:sz="4" w:space="0"/>
            </w:tcBorders>
            <w:vAlign w:val="center"/>
          </w:tcPr>
          <w:p>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食堂油烟</w:t>
            </w:r>
          </w:p>
        </w:tc>
        <w:tc>
          <w:tcPr>
            <w:tcW w:w="2433"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油烟净化器处理排放</w:t>
            </w:r>
          </w:p>
        </w:tc>
        <w:tc>
          <w:tcPr>
            <w:tcW w:w="2509" w:type="dxa"/>
            <w:vAlign w:val="center"/>
          </w:tcPr>
          <w:p>
            <w:pPr>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油烟净化器处理排放</w:t>
            </w:r>
          </w:p>
        </w:tc>
        <w:tc>
          <w:tcPr>
            <w:tcW w:w="1460" w:type="dxa"/>
            <w:vAlign w:val="center"/>
          </w:tcPr>
          <w:p>
            <w:pPr>
              <w:spacing w:line="240" w:lineRule="auto"/>
              <w:ind w:firstLine="0" w:firstLineChars="0"/>
              <w:jc w:val="center"/>
              <w:rPr>
                <w:rFonts w:hint="default" w:cs="Times New Roman" w:eastAsiaTheme="minorEastAsia"/>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噪声</w:t>
            </w:r>
            <w:r>
              <w:rPr>
                <w:rFonts w:hint="eastAsia" w:cs="Times New Roman"/>
                <w:color w:val="auto"/>
                <w:sz w:val="21"/>
                <w:szCs w:val="21"/>
              </w:rPr>
              <w:t>治理</w:t>
            </w:r>
          </w:p>
        </w:tc>
        <w:tc>
          <w:tcPr>
            <w:tcW w:w="1428" w:type="dxa"/>
            <w:vAlign w:val="center"/>
          </w:tcPr>
          <w:p>
            <w:pPr>
              <w:spacing w:line="240" w:lineRule="auto"/>
              <w:ind w:firstLine="0" w:firstLineChars="0"/>
              <w:jc w:val="center"/>
              <w:rPr>
                <w:rFonts w:cs="Times New Roman"/>
                <w:color w:val="auto"/>
                <w:sz w:val="21"/>
                <w:szCs w:val="21"/>
              </w:rPr>
            </w:pPr>
            <w:r>
              <w:rPr>
                <w:color w:val="auto"/>
                <w:sz w:val="21"/>
                <w:szCs w:val="21"/>
              </w:rPr>
              <w:t>切割机、剪板机、折弯机、抛丸机、焊机、钻床、刨床、风机、空压机、泵等</w:t>
            </w:r>
          </w:p>
        </w:tc>
        <w:tc>
          <w:tcPr>
            <w:tcW w:w="243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消声、隔音、减振</w:t>
            </w:r>
          </w:p>
        </w:tc>
        <w:tc>
          <w:tcPr>
            <w:tcW w:w="2509"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消声、隔音、减振</w:t>
            </w:r>
          </w:p>
        </w:tc>
        <w:tc>
          <w:tcPr>
            <w:tcW w:w="1460"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top w:val="single" w:color="000000" w:sz="6"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固废</w:t>
            </w:r>
          </w:p>
        </w:tc>
        <w:tc>
          <w:tcPr>
            <w:tcW w:w="1428" w:type="dxa"/>
            <w:tcBorders>
              <w:top w:val="single" w:color="000000" w:sz="6" w:space="0"/>
              <w:left w:val="single" w:color="auto" w:sz="4" w:space="0"/>
              <w:bottom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一般生产</w:t>
            </w:r>
          </w:p>
          <w:p>
            <w:pPr>
              <w:spacing w:line="240" w:lineRule="auto"/>
              <w:ind w:firstLine="0" w:firstLineChars="0"/>
              <w:jc w:val="center"/>
              <w:rPr>
                <w:rFonts w:cs="Times New Roman"/>
                <w:color w:val="auto"/>
                <w:sz w:val="21"/>
                <w:szCs w:val="21"/>
              </w:rPr>
            </w:pPr>
            <w:r>
              <w:rPr>
                <w:rFonts w:cs="Times New Roman"/>
                <w:color w:val="auto"/>
                <w:sz w:val="21"/>
                <w:szCs w:val="21"/>
              </w:rPr>
              <w:t>固废</w:t>
            </w:r>
          </w:p>
        </w:tc>
        <w:tc>
          <w:tcPr>
            <w:tcW w:w="2433" w:type="dxa"/>
            <w:tcBorders>
              <w:top w:val="single" w:color="000000" w:sz="6" w:space="0"/>
              <w:bottom w:val="single" w:color="auto" w:sz="4"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一般固废暂存间</w:t>
            </w:r>
          </w:p>
        </w:tc>
        <w:tc>
          <w:tcPr>
            <w:tcW w:w="2509"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一般固废暂存间</w:t>
            </w:r>
          </w:p>
        </w:tc>
        <w:tc>
          <w:tcPr>
            <w:tcW w:w="1460"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auto"/>
                <w:sz w:val="21"/>
                <w:szCs w:val="21"/>
              </w:rPr>
            </w:pPr>
          </w:p>
        </w:tc>
        <w:tc>
          <w:tcPr>
            <w:tcW w:w="1428" w:type="dxa"/>
            <w:tcBorders>
              <w:top w:val="single" w:color="000000" w:sz="6" w:space="0"/>
              <w:left w:val="single" w:color="auto" w:sz="4" w:space="0"/>
              <w:bottom w:val="single" w:color="auto" w:sz="4"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生活垃圾</w:t>
            </w:r>
          </w:p>
        </w:tc>
        <w:tc>
          <w:tcPr>
            <w:tcW w:w="2433" w:type="dxa"/>
            <w:tcBorders>
              <w:top w:val="single" w:color="000000" w:sz="6" w:space="0"/>
              <w:bottom w:val="single" w:color="auto" w:sz="4"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垃圾收集桶</w:t>
            </w:r>
          </w:p>
        </w:tc>
        <w:tc>
          <w:tcPr>
            <w:tcW w:w="2509"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垃圾收集桶</w:t>
            </w:r>
          </w:p>
        </w:tc>
        <w:tc>
          <w:tcPr>
            <w:tcW w:w="1460"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spacing w:line="240" w:lineRule="auto"/>
              <w:ind w:firstLine="0" w:firstLineChars="0"/>
              <w:jc w:val="center"/>
              <w:rPr>
                <w:rFonts w:cs="Times New Roman"/>
                <w:color w:val="auto"/>
                <w:sz w:val="21"/>
                <w:szCs w:val="21"/>
              </w:rPr>
            </w:pPr>
          </w:p>
        </w:tc>
        <w:tc>
          <w:tcPr>
            <w:tcW w:w="1428" w:type="dxa"/>
            <w:tcBorders>
              <w:top w:val="single" w:color="auto" w:sz="4" w:space="0"/>
              <w:left w:val="single" w:color="auto" w:sz="4" w:space="0"/>
              <w:bottom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危险废物</w:t>
            </w:r>
          </w:p>
        </w:tc>
        <w:tc>
          <w:tcPr>
            <w:tcW w:w="2433" w:type="dxa"/>
            <w:tcBorders>
              <w:top w:val="single" w:color="auto" w:sz="4" w:space="0"/>
              <w:bottom w:val="single" w:color="auto" w:sz="4" w:space="0"/>
            </w:tcBorders>
            <w:vAlign w:val="center"/>
          </w:tcPr>
          <w:p>
            <w:pPr>
              <w:spacing w:line="240" w:lineRule="auto"/>
              <w:ind w:firstLine="0" w:firstLineChars="0"/>
              <w:jc w:val="center"/>
              <w:rPr>
                <w:rFonts w:hint="eastAsia" w:cs="Times New Roman"/>
                <w:color w:val="auto"/>
                <w:sz w:val="21"/>
                <w:szCs w:val="21"/>
              </w:rPr>
            </w:pPr>
            <w:r>
              <w:rPr>
                <w:rFonts w:hint="eastAsia" w:cs="Times New Roman"/>
                <w:color w:val="auto"/>
                <w:sz w:val="21"/>
                <w:szCs w:val="21"/>
              </w:rPr>
              <w:t>暂存于危险废物暂存间，定期交由有资质单位</w:t>
            </w:r>
          </w:p>
          <w:p>
            <w:pPr>
              <w:spacing w:line="240" w:lineRule="auto"/>
              <w:ind w:firstLine="0" w:firstLineChars="0"/>
              <w:jc w:val="center"/>
              <w:rPr>
                <w:rFonts w:cs="Times New Roman"/>
                <w:color w:val="auto"/>
                <w:sz w:val="21"/>
                <w:szCs w:val="21"/>
              </w:rPr>
            </w:pPr>
            <w:r>
              <w:rPr>
                <w:rFonts w:hint="eastAsia" w:cs="Times New Roman"/>
                <w:color w:val="auto"/>
                <w:sz w:val="21"/>
                <w:szCs w:val="21"/>
              </w:rPr>
              <w:t>处置</w:t>
            </w:r>
          </w:p>
        </w:tc>
        <w:tc>
          <w:tcPr>
            <w:tcW w:w="2509" w:type="dxa"/>
            <w:tcBorders>
              <w:top w:val="single" w:color="000000" w:sz="6" w:space="0"/>
              <w:bottom w:val="single" w:color="000000" w:sz="6" w:space="0"/>
            </w:tcBorders>
            <w:vAlign w:val="center"/>
          </w:tcPr>
          <w:p>
            <w:pPr>
              <w:spacing w:line="240" w:lineRule="auto"/>
              <w:ind w:firstLine="0" w:firstLineChars="0"/>
              <w:jc w:val="center"/>
              <w:rPr>
                <w:rFonts w:hint="eastAsia" w:cs="Times New Roman"/>
                <w:color w:val="auto"/>
                <w:sz w:val="21"/>
                <w:szCs w:val="21"/>
              </w:rPr>
            </w:pPr>
            <w:r>
              <w:rPr>
                <w:rFonts w:hint="eastAsia" w:cs="Times New Roman"/>
                <w:color w:val="auto"/>
                <w:sz w:val="21"/>
                <w:szCs w:val="21"/>
              </w:rPr>
              <w:t>暂存于危险废物暂存间，定期交由有资质单位</w:t>
            </w:r>
          </w:p>
          <w:p>
            <w:pPr>
              <w:spacing w:line="240" w:lineRule="auto"/>
              <w:ind w:firstLine="0" w:firstLineChars="0"/>
              <w:jc w:val="center"/>
              <w:rPr>
                <w:rFonts w:cs="Times New Roman"/>
                <w:color w:val="auto"/>
                <w:sz w:val="21"/>
                <w:szCs w:val="21"/>
              </w:rPr>
            </w:pPr>
            <w:r>
              <w:rPr>
                <w:rFonts w:hint="eastAsia" w:cs="Times New Roman"/>
                <w:color w:val="auto"/>
                <w:sz w:val="21"/>
                <w:szCs w:val="21"/>
              </w:rPr>
              <w:t>处置</w:t>
            </w:r>
          </w:p>
        </w:tc>
        <w:tc>
          <w:tcPr>
            <w:tcW w:w="1460" w:type="dxa"/>
            <w:tcBorders>
              <w:top w:val="single" w:color="000000" w:sz="6" w:space="0"/>
              <w:bottom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right w:val="single" w:color="auto" w:sz="4" w:space="0"/>
            </w:tcBorders>
            <w:vAlign w:val="center"/>
          </w:tcPr>
          <w:p>
            <w:pPr>
              <w:spacing w:line="240" w:lineRule="auto"/>
              <w:ind w:firstLine="0" w:firstLineChars="0"/>
              <w:jc w:val="center"/>
              <w:rPr>
                <w:rFonts w:hint="default" w:cs="Times New Roman" w:eastAsiaTheme="minorEastAsia"/>
                <w:color w:val="auto"/>
                <w:sz w:val="21"/>
                <w:szCs w:val="21"/>
                <w:lang w:val="en-US" w:eastAsia="zh-CN"/>
              </w:rPr>
            </w:pPr>
            <w:bookmarkStart w:id="248" w:name="_Toc4676"/>
            <w:bookmarkStart w:id="249" w:name="_Toc20887"/>
            <w:bookmarkStart w:id="250" w:name="_Toc12323"/>
            <w:bookmarkStart w:id="251" w:name="_Toc19944"/>
            <w:bookmarkStart w:id="252" w:name="_Toc14779"/>
            <w:bookmarkStart w:id="253" w:name="_Toc12063"/>
            <w:bookmarkStart w:id="254" w:name="_Toc2197"/>
            <w:bookmarkStart w:id="255" w:name="_Toc24453"/>
            <w:bookmarkStart w:id="256" w:name="_Toc24860"/>
            <w:bookmarkStart w:id="257" w:name="_Toc17251"/>
            <w:bookmarkStart w:id="258" w:name="_Toc26445"/>
            <w:bookmarkStart w:id="259" w:name="_Toc9097"/>
            <w:r>
              <w:rPr>
                <w:rFonts w:hint="eastAsia" w:cs="Times New Roman"/>
                <w:color w:val="auto"/>
                <w:sz w:val="21"/>
                <w:szCs w:val="21"/>
                <w:lang w:val="en-US" w:eastAsia="zh-CN"/>
              </w:rPr>
              <w:t>风险防范</w:t>
            </w:r>
          </w:p>
        </w:tc>
        <w:tc>
          <w:tcPr>
            <w:tcW w:w="1428" w:type="dxa"/>
            <w:vMerge w:val="restart"/>
            <w:tcBorders>
              <w:top w:val="single" w:color="auto" w:sz="4" w:space="0"/>
              <w:left w:val="single" w:color="auto" w:sz="4" w:space="0"/>
            </w:tcBorders>
            <w:vAlign w:val="center"/>
          </w:tcPr>
          <w:p>
            <w:pPr>
              <w:spacing w:line="240" w:lineRule="auto"/>
              <w:ind w:firstLine="0" w:firstLineChars="0"/>
              <w:jc w:val="center"/>
              <w:rPr>
                <w:rFonts w:hint="eastAsia" w:cs="Times New Roman" w:eastAsiaTheme="minorEastAsia"/>
                <w:color w:val="auto"/>
                <w:sz w:val="21"/>
                <w:szCs w:val="21"/>
                <w:lang w:val="en-US" w:eastAsia="zh-CN"/>
              </w:rPr>
            </w:pPr>
            <w:r>
              <w:rPr>
                <w:rFonts w:hint="eastAsia" w:cs="Times New Roman"/>
                <w:color w:val="auto"/>
                <w:sz w:val="21"/>
                <w:szCs w:val="21"/>
                <w:lang w:val="en-US" w:eastAsia="zh-CN"/>
              </w:rPr>
              <w:t>其他</w:t>
            </w:r>
          </w:p>
        </w:tc>
        <w:tc>
          <w:tcPr>
            <w:tcW w:w="2433" w:type="dxa"/>
            <w:tcBorders>
              <w:top w:val="single" w:color="auto" w:sz="4" w:space="0"/>
              <w:bottom w:val="single" w:color="auto" w:sz="4" w:space="0"/>
            </w:tcBorders>
            <w:vAlign w:val="center"/>
          </w:tcPr>
          <w:p>
            <w:pPr>
              <w:pStyle w:val="65"/>
              <w:ind w:firstLine="0" w:firstLineChars="0"/>
              <w:rPr>
                <w:rFonts w:hint="eastAsia" w:ascii="Times New Roman" w:hAnsi="Times New Roman" w:eastAsiaTheme="minorEastAsia" w:cstheme="minorBidi"/>
                <w:color w:val="auto"/>
                <w:kern w:val="2"/>
                <w:sz w:val="21"/>
                <w:szCs w:val="21"/>
                <w:lang w:val="en-US" w:eastAsia="zh-CN" w:bidi="ar-SA"/>
              </w:rPr>
            </w:pPr>
            <w:r>
              <w:rPr>
                <w:color w:val="auto"/>
                <w:szCs w:val="21"/>
              </w:rPr>
              <w:t>高倍数固定泡沫灭火器等消防设施</w:t>
            </w:r>
          </w:p>
        </w:tc>
        <w:tc>
          <w:tcPr>
            <w:tcW w:w="2509" w:type="dxa"/>
            <w:tcBorders>
              <w:top w:val="single" w:color="000000" w:sz="6" w:space="0"/>
              <w:bottom w:val="single" w:color="000000" w:sz="6" w:space="0"/>
            </w:tcBorders>
            <w:vAlign w:val="center"/>
          </w:tcPr>
          <w:p>
            <w:pPr>
              <w:pStyle w:val="65"/>
              <w:ind w:firstLine="0" w:firstLineChars="0"/>
              <w:rPr>
                <w:rFonts w:hint="eastAsia" w:cs="Times New Roman"/>
                <w:color w:val="auto"/>
                <w:sz w:val="21"/>
                <w:szCs w:val="21"/>
              </w:rPr>
            </w:pPr>
            <w:r>
              <w:rPr>
                <w:color w:val="auto"/>
                <w:szCs w:val="21"/>
              </w:rPr>
              <w:t>高倍数固定泡沫灭火器等消防设施</w:t>
            </w:r>
          </w:p>
        </w:tc>
        <w:tc>
          <w:tcPr>
            <w:tcW w:w="1460" w:type="dxa"/>
            <w:vMerge w:val="restart"/>
            <w:tcBorders>
              <w:top w:val="single" w:color="000000" w:sz="6" w:space="0"/>
            </w:tcBorders>
            <w:vAlign w:val="center"/>
          </w:tcPr>
          <w:p>
            <w:pPr>
              <w:spacing w:line="240" w:lineRule="auto"/>
              <w:ind w:firstLine="0" w:firstLineChars="0"/>
              <w:jc w:val="center"/>
              <w:rPr>
                <w:rFonts w:hint="eastAsia" w:cs="Times New Roman" w:eastAsiaTheme="minorEastAsia"/>
                <w:color w:val="auto"/>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692" w:type="dxa"/>
            <w:vMerge w:val="continue"/>
            <w:tcBorders>
              <w:right w:val="single" w:color="auto" w:sz="4" w:space="0"/>
            </w:tcBorders>
          </w:tcPr>
          <w:p>
            <w:pPr>
              <w:spacing w:line="240" w:lineRule="auto"/>
              <w:ind w:firstLine="0" w:firstLineChars="0"/>
              <w:jc w:val="center"/>
              <w:rPr>
                <w:rFonts w:hint="default" w:cs="Times New Roman" w:eastAsiaTheme="minorEastAsia"/>
                <w:color w:val="auto"/>
                <w:sz w:val="21"/>
                <w:szCs w:val="21"/>
                <w:lang w:val="en-US" w:eastAsia="zh-CN"/>
              </w:rPr>
            </w:pPr>
          </w:p>
        </w:tc>
        <w:tc>
          <w:tcPr>
            <w:tcW w:w="1428" w:type="dxa"/>
            <w:vMerge w:val="continue"/>
            <w:tcBorders>
              <w:left w:val="single" w:color="auto" w:sz="4" w:space="0"/>
            </w:tcBorders>
          </w:tcPr>
          <w:p>
            <w:pPr>
              <w:spacing w:line="240" w:lineRule="auto"/>
              <w:ind w:firstLine="0" w:firstLineChars="0"/>
              <w:jc w:val="center"/>
              <w:rPr>
                <w:rFonts w:hint="eastAsia" w:cs="Times New Roman" w:eastAsiaTheme="minorEastAsia"/>
                <w:color w:val="auto"/>
                <w:sz w:val="21"/>
                <w:szCs w:val="21"/>
                <w:lang w:val="en-US" w:eastAsia="zh-CN"/>
              </w:rPr>
            </w:pPr>
          </w:p>
        </w:tc>
        <w:tc>
          <w:tcPr>
            <w:tcW w:w="2433" w:type="dxa"/>
            <w:vAlign w:val="center"/>
          </w:tcPr>
          <w:p>
            <w:pPr>
              <w:pStyle w:val="65"/>
              <w:tabs>
                <w:tab w:val="clear" w:pos="4540"/>
              </w:tabs>
              <w:ind w:firstLine="0" w:firstLineChars="0"/>
              <w:rPr>
                <w:rFonts w:hint="eastAsia" w:ascii="Times New Roman" w:hAnsi="Times New Roman" w:eastAsiaTheme="minorEastAsia" w:cstheme="minorBidi"/>
                <w:color w:val="auto"/>
                <w:kern w:val="2"/>
                <w:sz w:val="21"/>
                <w:szCs w:val="21"/>
                <w:lang w:val="en-US" w:eastAsia="zh-CN" w:bidi="ar-SA"/>
              </w:rPr>
            </w:pPr>
            <w:r>
              <w:rPr>
                <w:color w:val="auto"/>
                <w:szCs w:val="21"/>
              </w:rPr>
              <w:t>在生产岗位设置事故柜和急救器材、救生器防护面罩、护目镜、胶皮手套、耳塞等防护、急救用具</w:t>
            </w:r>
          </w:p>
        </w:tc>
        <w:tc>
          <w:tcPr>
            <w:tcW w:w="2509" w:type="dxa"/>
            <w:vAlign w:val="center"/>
          </w:tcPr>
          <w:p>
            <w:pPr>
              <w:pStyle w:val="65"/>
              <w:tabs>
                <w:tab w:val="clear" w:pos="4540"/>
              </w:tabs>
              <w:ind w:firstLine="0" w:firstLineChars="0"/>
              <w:rPr>
                <w:rFonts w:hint="eastAsia" w:cs="Times New Roman"/>
                <w:color w:val="auto"/>
                <w:sz w:val="21"/>
                <w:szCs w:val="21"/>
              </w:rPr>
            </w:pPr>
            <w:r>
              <w:rPr>
                <w:color w:val="auto"/>
                <w:szCs w:val="21"/>
              </w:rPr>
              <w:t>在生产岗位设置事故柜和急救器材、救生器防护面罩、护目镜、胶皮手套、耳塞等防护、急救用具</w:t>
            </w:r>
          </w:p>
        </w:tc>
        <w:tc>
          <w:tcPr>
            <w:tcW w:w="1460" w:type="dxa"/>
            <w:vMerge w:val="continue"/>
          </w:tcPr>
          <w:p>
            <w:pPr>
              <w:spacing w:line="240" w:lineRule="auto"/>
              <w:ind w:firstLine="0" w:firstLineChars="0"/>
              <w:jc w:val="center"/>
              <w:rPr>
                <w:rFonts w:cs="Times New Roman"/>
                <w:color w:val="0000FF"/>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tcPr>
          <w:p>
            <w:pPr>
              <w:spacing w:line="240" w:lineRule="auto"/>
              <w:ind w:firstLine="0" w:firstLineChars="0"/>
              <w:jc w:val="center"/>
              <w:rPr>
                <w:rFonts w:hint="default" w:cs="Times New Roman" w:eastAsiaTheme="minorEastAsia"/>
                <w:color w:val="0000FF"/>
                <w:sz w:val="21"/>
                <w:szCs w:val="21"/>
                <w:lang w:val="en-US" w:eastAsia="zh-CN"/>
              </w:rPr>
            </w:pPr>
          </w:p>
        </w:tc>
        <w:tc>
          <w:tcPr>
            <w:tcW w:w="1428" w:type="dxa"/>
            <w:vMerge w:val="continue"/>
            <w:tcBorders>
              <w:left w:val="single" w:color="auto" w:sz="4" w:space="0"/>
            </w:tcBorders>
          </w:tcPr>
          <w:p>
            <w:pPr>
              <w:spacing w:line="240" w:lineRule="auto"/>
              <w:ind w:firstLine="0" w:firstLineChars="0"/>
              <w:jc w:val="center"/>
              <w:rPr>
                <w:rFonts w:hint="eastAsia" w:cs="Times New Roman" w:eastAsiaTheme="minorEastAsia"/>
                <w:color w:val="0000FF"/>
                <w:sz w:val="21"/>
                <w:szCs w:val="21"/>
                <w:lang w:val="en-US" w:eastAsia="zh-CN"/>
              </w:rPr>
            </w:pPr>
          </w:p>
        </w:tc>
        <w:tc>
          <w:tcPr>
            <w:tcW w:w="2433" w:type="dxa"/>
            <w:vAlign w:val="center"/>
          </w:tcPr>
          <w:p>
            <w:pPr>
              <w:pStyle w:val="65"/>
              <w:tabs>
                <w:tab w:val="clear" w:pos="4540"/>
              </w:tabs>
              <w:ind w:firstLine="0" w:firstLineChars="0"/>
              <w:rPr>
                <w:rFonts w:hint="eastAsia" w:ascii="Times New Roman" w:hAnsi="Times New Roman" w:eastAsiaTheme="minorEastAsia" w:cstheme="minorBidi"/>
                <w:color w:val="auto"/>
                <w:kern w:val="2"/>
                <w:sz w:val="21"/>
                <w:szCs w:val="21"/>
                <w:lang w:val="en-US" w:eastAsia="zh-CN" w:bidi="ar-SA"/>
              </w:rPr>
            </w:pPr>
            <w:r>
              <w:rPr>
                <w:color w:val="auto"/>
                <w:szCs w:val="21"/>
              </w:rPr>
              <w:t>安全教育培训、事故应急演练</w:t>
            </w:r>
          </w:p>
        </w:tc>
        <w:tc>
          <w:tcPr>
            <w:tcW w:w="2509" w:type="dxa"/>
            <w:vAlign w:val="center"/>
          </w:tcPr>
          <w:p>
            <w:pPr>
              <w:pStyle w:val="65"/>
              <w:tabs>
                <w:tab w:val="clear" w:pos="4540"/>
              </w:tabs>
              <w:ind w:firstLine="0" w:firstLineChars="0"/>
              <w:rPr>
                <w:rFonts w:hint="eastAsia" w:cs="Times New Roman"/>
                <w:color w:val="auto"/>
                <w:sz w:val="21"/>
                <w:szCs w:val="21"/>
              </w:rPr>
            </w:pPr>
            <w:r>
              <w:rPr>
                <w:color w:val="auto"/>
                <w:szCs w:val="21"/>
              </w:rPr>
              <w:t>安全教育培训、事故应急演练</w:t>
            </w:r>
          </w:p>
        </w:tc>
        <w:tc>
          <w:tcPr>
            <w:tcW w:w="1460" w:type="dxa"/>
            <w:vMerge w:val="continue"/>
          </w:tcPr>
          <w:p>
            <w:pPr>
              <w:spacing w:line="240" w:lineRule="auto"/>
              <w:ind w:firstLine="0" w:firstLineChars="0"/>
              <w:jc w:val="center"/>
              <w:rPr>
                <w:rFonts w:cs="Times New Roman"/>
                <w:color w:val="0000FF"/>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restart"/>
            <w:tcBorders>
              <w:right w:val="single" w:color="auto" w:sz="4" w:space="0"/>
            </w:tcBorders>
            <w:vAlign w:val="center"/>
          </w:tcPr>
          <w:p>
            <w:pPr>
              <w:adjustRightInd w:val="0"/>
              <w:snapToGrid w:val="0"/>
              <w:spacing w:line="240" w:lineRule="auto"/>
              <w:ind w:firstLine="0" w:firstLineChars="0"/>
              <w:jc w:val="center"/>
              <w:rPr>
                <w:rFonts w:hint="default" w:cs="Times New Roman" w:eastAsiaTheme="minorEastAsia"/>
                <w:b w:val="0"/>
                <w:bCs/>
                <w:color w:val="auto"/>
                <w:sz w:val="21"/>
                <w:szCs w:val="21"/>
                <w:u w:val="none"/>
                <w:lang w:val="en-US" w:eastAsia="zh-CN"/>
              </w:rPr>
            </w:pPr>
            <w:r>
              <w:rPr>
                <w:b w:val="0"/>
                <w:bCs/>
                <w:color w:val="auto"/>
                <w:sz w:val="21"/>
                <w:szCs w:val="21"/>
                <w:u w:val="none"/>
              </w:rPr>
              <w:t>地下水污染防渗措施</w:t>
            </w:r>
          </w:p>
        </w:tc>
        <w:tc>
          <w:tcPr>
            <w:tcW w:w="1428" w:type="dxa"/>
            <w:tcBorders>
              <w:left w:val="single" w:color="auto" w:sz="4" w:space="0"/>
            </w:tcBorders>
            <w:vAlign w:val="center"/>
          </w:tcPr>
          <w:p>
            <w:pPr>
              <w:adjustRightInd w:val="0"/>
              <w:snapToGrid w:val="0"/>
              <w:spacing w:line="240" w:lineRule="auto"/>
              <w:ind w:firstLine="0" w:firstLineChars="0"/>
              <w:jc w:val="center"/>
              <w:rPr>
                <w:rFonts w:hint="eastAsia" w:cs="Times New Roman" w:eastAsiaTheme="minorEastAsia"/>
                <w:b w:val="0"/>
                <w:bCs/>
                <w:color w:val="auto"/>
                <w:sz w:val="21"/>
                <w:szCs w:val="21"/>
                <w:u w:val="none"/>
                <w:lang w:val="en-US" w:eastAsia="zh-CN"/>
              </w:rPr>
            </w:pPr>
            <w:r>
              <w:rPr>
                <w:b w:val="0"/>
                <w:bCs/>
                <w:color w:val="auto"/>
                <w:sz w:val="21"/>
                <w:szCs w:val="21"/>
                <w:u w:val="none"/>
              </w:rPr>
              <w:t>危废暂存间、原料库、生产二车间喷漆房等重点防渗区</w:t>
            </w:r>
          </w:p>
        </w:tc>
        <w:tc>
          <w:tcPr>
            <w:tcW w:w="2433" w:type="dxa"/>
            <w:vAlign w:val="center"/>
          </w:tcPr>
          <w:p>
            <w:pPr>
              <w:adjustRightInd w:val="0"/>
              <w:snapToGrid w:val="0"/>
              <w:spacing w:line="240" w:lineRule="auto"/>
              <w:ind w:firstLine="0" w:firstLineChars="0"/>
              <w:jc w:val="center"/>
              <w:rPr>
                <w:b w:val="0"/>
                <w:bCs/>
                <w:color w:val="auto"/>
                <w:szCs w:val="21"/>
                <w:u w:val="none"/>
              </w:rPr>
            </w:pPr>
            <w:r>
              <w:rPr>
                <w:b w:val="0"/>
                <w:bCs/>
                <w:color w:val="auto"/>
                <w:sz w:val="21"/>
                <w:szCs w:val="21"/>
                <w:u w:val="none"/>
              </w:rPr>
              <w:t>采用钢筋混凝土+环氧树脂防渗，确保渗透系数≤1×10</w:t>
            </w:r>
            <w:r>
              <w:rPr>
                <w:b w:val="0"/>
                <w:bCs/>
                <w:color w:val="auto"/>
                <w:sz w:val="21"/>
                <w:szCs w:val="21"/>
                <w:u w:val="none"/>
                <w:vertAlign w:val="superscript"/>
              </w:rPr>
              <w:t>-10</w:t>
            </w:r>
            <w:r>
              <w:rPr>
                <w:b w:val="0"/>
                <w:bCs/>
                <w:color w:val="auto"/>
                <w:sz w:val="21"/>
                <w:szCs w:val="21"/>
                <w:u w:val="none"/>
              </w:rPr>
              <w:t>cm/s</w:t>
            </w:r>
          </w:p>
        </w:tc>
        <w:tc>
          <w:tcPr>
            <w:tcW w:w="2509" w:type="dxa"/>
            <w:vAlign w:val="center"/>
          </w:tcPr>
          <w:p>
            <w:pPr>
              <w:adjustRightInd w:val="0"/>
              <w:snapToGrid w:val="0"/>
              <w:spacing w:line="240" w:lineRule="auto"/>
              <w:ind w:firstLine="0" w:firstLineChars="0"/>
              <w:jc w:val="center"/>
              <w:rPr>
                <w:color w:val="auto"/>
                <w:szCs w:val="21"/>
              </w:rPr>
            </w:pPr>
            <w:r>
              <w:rPr>
                <w:b w:val="0"/>
                <w:bCs/>
                <w:color w:val="auto"/>
                <w:sz w:val="21"/>
                <w:szCs w:val="21"/>
                <w:u w:val="none"/>
              </w:rPr>
              <w:t>采用钢筋混凝土+环氧树脂防渗，确保渗透系数≤1×10</w:t>
            </w:r>
            <w:r>
              <w:rPr>
                <w:b w:val="0"/>
                <w:bCs/>
                <w:color w:val="auto"/>
                <w:sz w:val="21"/>
                <w:szCs w:val="21"/>
                <w:u w:val="none"/>
                <w:vertAlign w:val="superscript"/>
              </w:rPr>
              <w:t>-10</w:t>
            </w:r>
            <w:r>
              <w:rPr>
                <w:b w:val="0"/>
                <w:bCs/>
                <w:color w:val="auto"/>
                <w:sz w:val="21"/>
                <w:szCs w:val="21"/>
                <w:u w:val="none"/>
              </w:rPr>
              <w:t>cm/s</w:t>
            </w:r>
          </w:p>
        </w:tc>
        <w:tc>
          <w:tcPr>
            <w:tcW w:w="1460" w:type="dxa"/>
            <w:vMerge w:val="restart"/>
            <w:vAlign w:val="center"/>
          </w:tcPr>
          <w:p>
            <w:pPr>
              <w:spacing w:line="240" w:lineRule="auto"/>
              <w:ind w:firstLine="0" w:firstLineChars="0"/>
              <w:jc w:val="center"/>
              <w:rPr>
                <w:rFonts w:hint="eastAsia" w:cs="Times New Roman" w:eastAsiaTheme="minorEastAsia"/>
                <w:color w:val="0000FF"/>
                <w:sz w:val="21"/>
                <w:szCs w:val="21"/>
                <w:lang w:val="en-US" w:eastAsia="zh-CN"/>
              </w:rPr>
            </w:pPr>
            <w:r>
              <w:rPr>
                <w:rFonts w:hint="eastAsia" w:cs="Times New Roman"/>
                <w:color w:val="auto"/>
                <w:sz w:val="21"/>
                <w:szCs w:val="21"/>
                <w:lang w:val="en-US"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p>
        </w:tc>
        <w:tc>
          <w:tcPr>
            <w:tcW w:w="1428" w:type="dxa"/>
            <w:tcBorders>
              <w:lef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生产车间、一般固废暂存间、事故水池、废气处理设施等一般防渗区</w:t>
            </w:r>
          </w:p>
        </w:tc>
        <w:tc>
          <w:tcPr>
            <w:tcW w:w="2433" w:type="dxa"/>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采用钢筋混凝土防渗，确保渗透系数≤1×10</w:t>
            </w:r>
            <w:r>
              <w:rPr>
                <w:b w:val="0"/>
                <w:bCs/>
                <w:color w:val="auto"/>
                <w:sz w:val="21"/>
                <w:szCs w:val="21"/>
                <w:u w:val="none"/>
                <w:vertAlign w:val="superscript"/>
              </w:rPr>
              <w:t>-7</w:t>
            </w:r>
            <w:r>
              <w:rPr>
                <w:b w:val="0"/>
                <w:bCs/>
                <w:color w:val="auto"/>
                <w:sz w:val="21"/>
                <w:szCs w:val="21"/>
                <w:u w:val="none"/>
              </w:rPr>
              <w:t>cm/s</w:t>
            </w:r>
          </w:p>
        </w:tc>
        <w:tc>
          <w:tcPr>
            <w:tcW w:w="2509" w:type="dxa"/>
            <w:vAlign w:val="center"/>
          </w:tcPr>
          <w:p>
            <w:pPr>
              <w:adjustRightInd w:val="0"/>
              <w:snapToGrid w:val="0"/>
              <w:spacing w:line="240" w:lineRule="auto"/>
              <w:ind w:firstLine="0" w:firstLineChars="0"/>
              <w:jc w:val="center"/>
              <w:rPr>
                <w:color w:val="auto"/>
                <w:szCs w:val="21"/>
              </w:rPr>
            </w:pPr>
            <w:r>
              <w:rPr>
                <w:b w:val="0"/>
                <w:bCs/>
                <w:color w:val="auto"/>
                <w:sz w:val="21"/>
                <w:szCs w:val="21"/>
                <w:u w:val="none"/>
              </w:rPr>
              <w:t>采用钢筋混凝土防渗，确保渗透系数≤1×10</w:t>
            </w:r>
            <w:r>
              <w:rPr>
                <w:b w:val="0"/>
                <w:bCs/>
                <w:color w:val="auto"/>
                <w:sz w:val="21"/>
                <w:szCs w:val="21"/>
                <w:u w:val="none"/>
                <w:vertAlign w:val="superscript"/>
              </w:rPr>
              <w:t>-7</w:t>
            </w:r>
            <w:r>
              <w:rPr>
                <w:b w:val="0"/>
                <w:bCs/>
                <w:color w:val="auto"/>
                <w:sz w:val="21"/>
                <w:szCs w:val="21"/>
                <w:u w:val="none"/>
              </w:rPr>
              <w:t>cm/s</w:t>
            </w:r>
          </w:p>
        </w:tc>
        <w:tc>
          <w:tcPr>
            <w:tcW w:w="1460" w:type="dxa"/>
            <w:vMerge w:val="continue"/>
          </w:tcPr>
          <w:p>
            <w:pPr>
              <w:spacing w:line="240" w:lineRule="auto"/>
              <w:ind w:firstLine="0" w:firstLineChars="0"/>
              <w:jc w:val="center"/>
              <w:rPr>
                <w:rFonts w:cs="Times New Roman"/>
                <w:color w:val="0000FF"/>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2" w:type="dxa"/>
            <w:vMerge w:val="continue"/>
            <w:tcBorders>
              <w:righ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p>
        </w:tc>
        <w:tc>
          <w:tcPr>
            <w:tcW w:w="1428" w:type="dxa"/>
            <w:tcBorders>
              <w:left w:val="single" w:color="auto" w:sz="4" w:space="0"/>
            </w:tcBorders>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成品区、综合管理用房、餐厅等简单防渗区</w:t>
            </w:r>
          </w:p>
        </w:tc>
        <w:tc>
          <w:tcPr>
            <w:tcW w:w="2433" w:type="dxa"/>
            <w:vAlign w:val="center"/>
          </w:tcPr>
          <w:p>
            <w:pPr>
              <w:adjustRightInd w:val="0"/>
              <w:snapToGrid w:val="0"/>
              <w:spacing w:line="240" w:lineRule="auto"/>
              <w:ind w:firstLine="0" w:firstLineChars="0"/>
              <w:jc w:val="center"/>
              <w:rPr>
                <w:b w:val="0"/>
                <w:bCs/>
                <w:color w:val="auto"/>
                <w:sz w:val="21"/>
                <w:szCs w:val="21"/>
                <w:u w:val="none"/>
              </w:rPr>
            </w:pPr>
            <w:r>
              <w:rPr>
                <w:b w:val="0"/>
                <w:bCs/>
                <w:color w:val="auto"/>
                <w:sz w:val="21"/>
                <w:szCs w:val="21"/>
                <w:u w:val="none"/>
              </w:rPr>
              <w:t>采用一般混凝土地面硬化处理</w:t>
            </w:r>
          </w:p>
        </w:tc>
        <w:tc>
          <w:tcPr>
            <w:tcW w:w="2509" w:type="dxa"/>
            <w:vAlign w:val="center"/>
          </w:tcPr>
          <w:p>
            <w:pPr>
              <w:adjustRightInd w:val="0"/>
              <w:snapToGrid w:val="0"/>
              <w:spacing w:line="240" w:lineRule="auto"/>
              <w:ind w:firstLine="0" w:firstLineChars="0"/>
              <w:jc w:val="center"/>
              <w:rPr>
                <w:color w:val="auto"/>
                <w:szCs w:val="21"/>
              </w:rPr>
            </w:pPr>
            <w:r>
              <w:rPr>
                <w:b w:val="0"/>
                <w:bCs/>
                <w:color w:val="auto"/>
                <w:sz w:val="21"/>
                <w:szCs w:val="21"/>
                <w:u w:val="none"/>
              </w:rPr>
              <w:t>采用一般混凝土地面硬化处理</w:t>
            </w:r>
          </w:p>
        </w:tc>
        <w:tc>
          <w:tcPr>
            <w:tcW w:w="1460" w:type="dxa"/>
            <w:vMerge w:val="continue"/>
          </w:tcPr>
          <w:p>
            <w:pPr>
              <w:spacing w:line="240" w:lineRule="auto"/>
              <w:ind w:firstLine="0" w:firstLineChars="0"/>
              <w:jc w:val="center"/>
              <w:rPr>
                <w:rFonts w:cs="Times New Roman"/>
                <w:color w:val="0000FF"/>
                <w:sz w:val="21"/>
                <w:szCs w:val="21"/>
              </w:rPr>
            </w:pPr>
          </w:p>
        </w:tc>
      </w:tr>
    </w:tbl>
    <w:p>
      <w:pPr>
        <w:pStyle w:val="2"/>
        <w:keepNext/>
        <w:keepLines/>
        <w:pageBreakBefore w:val="0"/>
        <w:widowControl w:val="0"/>
        <w:numPr>
          <w:ilvl w:val="0"/>
          <w:numId w:val="1"/>
        </w:numPr>
        <w:kinsoku/>
        <w:wordWrap/>
        <w:overflowPunct/>
        <w:topLinePunct w:val="0"/>
        <w:autoSpaceDE/>
        <w:autoSpaceDN/>
        <w:bidi w:val="0"/>
        <w:adjustRightInd/>
        <w:snapToGrid/>
        <w:spacing w:beforeLines="0" w:afterLines="0" w:line="520" w:lineRule="exact"/>
        <w:textAlignment w:val="auto"/>
      </w:pPr>
      <w:r>
        <w:t>建设项目环评报告</w:t>
      </w:r>
      <w:r>
        <w:rPr>
          <w:rFonts w:hint="eastAsia"/>
        </w:rPr>
        <w:t>书</w:t>
      </w:r>
      <w:r>
        <w:t>的主要结论与建议及审批部门审决定</w:t>
      </w:r>
      <w:bookmarkEnd w:id="248"/>
      <w:bookmarkEnd w:id="249"/>
      <w:bookmarkEnd w:id="250"/>
      <w:bookmarkEnd w:id="251"/>
      <w:bookmarkEnd w:id="252"/>
      <w:bookmarkEnd w:id="253"/>
      <w:bookmarkEnd w:id="254"/>
      <w:bookmarkEnd w:id="255"/>
      <w:bookmarkEnd w:id="256"/>
      <w:bookmarkEnd w:id="257"/>
      <w:bookmarkEnd w:id="258"/>
      <w:bookmarkEnd w:id="259"/>
    </w:p>
    <w:p>
      <w:pPr>
        <w:pStyle w:val="3"/>
        <w:pageBreakBefore w:val="0"/>
        <w:kinsoku/>
        <w:wordWrap/>
        <w:overflowPunct/>
        <w:topLinePunct w:val="0"/>
        <w:autoSpaceDE/>
        <w:autoSpaceDN/>
        <w:bidi w:val="0"/>
        <w:adjustRightInd/>
        <w:snapToGrid/>
        <w:spacing w:beforeLines="0" w:afterLines="0" w:line="520" w:lineRule="exact"/>
        <w:textAlignment w:val="auto"/>
      </w:pPr>
      <w:bookmarkStart w:id="260" w:name="_Toc26035"/>
      <w:bookmarkStart w:id="261" w:name="_Toc5985"/>
      <w:bookmarkStart w:id="262" w:name="_Toc30301"/>
      <w:bookmarkStart w:id="263" w:name="_Toc5241"/>
      <w:bookmarkStart w:id="264" w:name="_Toc22223"/>
      <w:bookmarkStart w:id="265" w:name="_Toc21432"/>
      <w:bookmarkStart w:id="266" w:name="_Toc9832"/>
      <w:bookmarkStart w:id="267" w:name="_Toc17187"/>
      <w:bookmarkStart w:id="268" w:name="_Toc7739"/>
      <w:bookmarkStart w:id="269" w:name="_Toc19273"/>
      <w:bookmarkStart w:id="270" w:name="_Toc24569"/>
      <w:bookmarkStart w:id="271" w:name="_Toc10198"/>
      <w:r>
        <w:t>5.1 建设项目环评报告</w:t>
      </w:r>
      <w:r>
        <w:rPr>
          <w:rFonts w:hint="eastAsia"/>
        </w:rPr>
        <w:t>书</w:t>
      </w:r>
      <w:r>
        <w:t>的主要结论与建议</w:t>
      </w:r>
      <w:bookmarkEnd w:id="260"/>
      <w:bookmarkEnd w:id="261"/>
      <w:bookmarkEnd w:id="262"/>
      <w:bookmarkEnd w:id="263"/>
      <w:bookmarkEnd w:id="264"/>
      <w:bookmarkEnd w:id="265"/>
      <w:bookmarkEnd w:id="266"/>
      <w:bookmarkEnd w:id="267"/>
      <w:bookmarkEnd w:id="268"/>
      <w:bookmarkEnd w:id="269"/>
      <w:bookmarkEnd w:id="270"/>
      <w:bookmarkEnd w:id="271"/>
    </w:p>
    <w:p>
      <w:pPr>
        <w:keepNext w:val="0"/>
        <w:keepLines w:val="0"/>
        <w:pageBreakBefore w:val="0"/>
        <w:widowControl w:val="0"/>
        <w:kinsoku/>
        <w:wordWrap/>
        <w:overflowPunct/>
        <w:topLinePunct w:val="0"/>
        <w:autoSpaceDE/>
        <w:autoSpaceDN/>
        <w:bidi w:val="0"/>
        <w:adjustRightInd/>
        <w:snapToGrid/>
        <w:spacing w:line="480" w:lineRule="exact"/>
        <w:ind w:firstLine="482"/>
        <w:textAlignment w:val="auto"/>
        <w:rPr>
          <w:b/>
          <w:bCs/>
          <w:color w:val="auto"/>
        </w:rPr>
      </w:pPr>
      <w:bookmarkStart w:id="272" w:name="_Toc5052"/>
      <w:bookmarkStart w:id="273" w:name="_Toc15248"/>
      <w:bookmarkStart w:id="274" w:name="_Toc5492"/>
      <w:bookmarkStart w:id="275" w:name="_Toc21760"/>
      <w:bookmarkStart w:id="276" w:name="_Toc20675"/>
      <w:bookmarkStart w:id="277" w:name="_Toc6552"/>
      <w:bookmarkStart w:id="278" w:name="_Toc438"/>
      <w:bookmarkStart w:id="279" w:name="_Toc28046"/>
      <w:bookmarkStart w:id="280" w:name="_Toc12764"/>
      <w:bookmarkStart w:id="281" w:name="_Toc17621"/>
      <w:bookmarkStart w:id="282" w:name="_Toc10324"/>
      <w:r>
        <w:rPr>
          <w:rFonts w:hint="eastAsia"/>
          <w:b/>
          <w:bCs/>
          <w:color w:val="auto"/>
        </w:rPr>
        <w:t>一、环境保护措施及污染物排放情况</w:t>
      </w:r>
    </w:p>
    <w:bookmarkEnd w:id="272"/>
    <w:bookmarkEnd w:id="273"/>
    <w:bookmarkEnd w:id="274"/>
    <w:bookmarkEnd w:id="275"/>
    <w:bookmarkEnd w:id="276"/>
    <w:bookmarkEnd w:id="277"/>
    <w:bookmarkEnd w:id="278"/>
    <w:bookmarkEnd w:id="279"/>
    <w:bookmarkEnd w:id="280"/>
    <w:bookmarkEnd w:id="281"/>
    <w:bookmarkEnd w:id="282"/>
    <w:p>
      <w:pPr>
        <w:keepNext w:val="0"/>
        <w:keepLines w:val="0"/>
        <w:pageBreakBefore w:val="0"/>
        <w:widowControl w:val="0"/>
        <w:kinsoku/>
        <w:wordWrap/>
        <w:overflowPunct/>
        <w:topLinePunct w:val="0"/>
        <w:autoSpaceDE/>
        <w:autoSpaceDN/>
        <w:bidi w:val="0"/>
        <w:adjustRightInd/>
        <w:snapToGrid/>
        <w:spacing w:line="480" w:lineRule="exact"/>
        <w:ind w:firstLine="472"/>
        <w:textAlignment w:val="auto"/>
        <w:rPr>
          <w:rFonts w:hint="default" w:eastAsiaTheme="minorEastAsia"/>
          <w:b/>
          <w:bCs w:val="0"/>
          <w:color w:val="auto"/>
          <w:spacing w:val="-2"/>
          <w:sz w:val="24"/>
          <w:u w:val="none"/>
          <w:lang w:val="en-US" w:eastAsia="zh-CN"/>
        </w:rPr>
      </w:pPr>
      <w:r>
        <w:rPr>
          <w:rFonts w:hint="eastAsia"/>
          <w:b/>
          <w:bCs w:val="0"/>
          <w:color w:val="auto"/>
          <w:spacing w:val="-2"/>
          <w:sz w:val="24"/>
          <w:u w:val="none"/>
          <w:lang w:val="en-US" w:eastAsia="zh-CN"/>
        </w:rPr>
        <w:t>1.大气</w:t>
      </w:r>
    </w:p>
    <w:p>
      <w:pPr>
        <w:keepNext w:val="0"/>
        <w:keepLines w:val="0"/>
        <w:pageBreakBefore w:val="0"/>
        <w:widowControl w:val="0"/>
        <w:kinsoku/>
        <w:wordWrap/>
        <w:overflowPunct/>
        <w:topLinePunct w:val="0"/>
        <w:autoSpaceDE/>
        <w:autoSpaceDN/>
        <w:bidi w:val="0"/>
        <w:spacing w:line="480" w:lineRule="exact"/>
        <w:ind w:firstLine="480"/>
        <w:textAlignment w:val="auto"/>
      </w:pPr>
      <w:r>
        <w:rPr>
          <w:rFonts w:hint="eastAsia"/>
          <w:b w:val="0"/>
          <w:bCs/>
          <w:u w:val="none"/>
        </w:rPr>
        <w:t>本项目产生的废气主要包括喷漆</w:t>
      </w:r>
      <w:r>
        <w:rPr>
          <w:b w:val="0"/>
          <w:bCs/>
          <w:u w:val="none"/>
        </w:rPr>
        <w:t>废气、晾干废气、</w:t>
      </w:r>
      <w:r>
        <w:rPr>
          <w:rFonts w:hint="eastAsia"/>
          <w:b w:val="0"/>
          <w:bCs/>
          <w:u w:val="none"/>
        </w:rPr>
        <w:t>抛丸</w:t>
      </w:r>
      <w:r>
        <w:rPr>
          <w:b w:val="0"/>
          <w:bCs/>
          <w:u w:val="none"/>
        </w:rPr>
        <w:t>粉尘、焊接烟尘</w:t>
      </w:r>
      <w:r>
        <w:rPr>
          <w:rFonts w:hint="eastAsia"/>
          <w:b w:val="0"/>
          <w:bCs/>
          <w:u w:val="none"/>
        </w:rPr>
        <w:t>、切割粉尘</w:t>
      </w:r>
      <w:r>
        <w:rPr>
          <w:b w:val="0"/>
          <w:bCs/>
          <w:u w:val="none"/>
        </w:rPr>
        <w:t>、食堂油烟</w:t>
      </w:r>
      <w:r>
        <w:rPr>
          <w:rFonts w:hint="eastAsia"/>
          <w:b w:val="0"/>
          <w:bCs/>
          <w:u w:val="none"/>
        </w:rPr>
        <w:t>。</w:t>
      </w:r>
      <w:r>
        <w:rPr>
          <w:b w:val="0"/>
          <w:bCs/>
          <w:u w:val="none"/>
        </w:rPr>
        <w:t>喷漆</w:t>
      </w:r>
      <w:r>
        <w:rPr>
          <w:rFonts w:hint="eastAsia"/>
          <w:b w:val="0"/>
          <w:bCs/>
          <w:u w:val="none"/>
        </w:rPr>
        <w:t>废气</w:t>
      </w:r>
      <w:r>
        <w:rPr>
          <w:b w:val="0"/>
          <w:bCs/>
          <w:u w:val="none"/>
        </w:rPr>
        <w:t>和晾干废气</w:t>
      </w:r>
      <w:r>
        <w:rPr>
          <w:rFonts w:hint="eastAsia"/>
          <w:b w:val="0"/>
          <w:bCs/>
          <w:u w:val="none"/>
        </w:rPr>
        <w:t>属于</w:t>
      </w:r>
      <w:r>
        <w:rPr>
          <w:b w:val="0"/>
          <w:bCs/>
          <w:u w:val="none"/>
        </w:rPr>
        <w:t>有机废气，</w:t>
      </w:r>
      <w:r>
        <w:rPr>
          <w:rFonts w:hint="eastAsia"/>
          <w:b w:val="0"/>
          <w:bCs/>
          <w:u w:val="none"/>
        </w:rPr>
        <w:t>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w:t>
      </w:r>
      <w:r>
        <w:rPr>
          <w:b w:val="0"/>
          <w:bCs/>
          <w:u w:val="none"/>
        </w:rPr>
        <w:t>各污染物有组织排放浓度及排放速率均满足《大气污染物综合排放标准》（GB16297-1996）表 2 二级标准限值</w:t>
      </w:r>
      <w:r>
        <w:rPr>
          <w:rFonts w:hint="eastAsia"/>
          <w:b w:val="0"/>
          <w:bCs/>
          <w:u w:val="none"/>
        </w:rPr>
        <w:t>要求，</w:t>
      </w:r>
      <w:r>
        <w:rPr>
          <w:b w:val="0"/>
          <w:bCs/>
          <w:u w:val="none"/>
        </w:rPr>
        <w:t>亦满足河南省环境污染防治攻坚战领导小组办公室文件《关于全省开展工业企业挥发性有机物专项治理工作中排放建议值的通知》（豫环攻坚[2017]162 号文）附件 1：表面涂装业有机废气排放口建议排放浓度要求（非甲烷总烃：60mg/</w:t>
      </w:r>
      <w:r>
        <w:rPr>
          <w:rFonts w:hint="eastAsia"/>
          <w:b w:val="0"/>
          <w:bCs/>
          <w:u w:val="none"/>
        </w:rPr>
        <w:t>m</w:t>
      </w:r>
      <w:r>
        <w:rPr>
          <w:rFonts w:hint="eastAsia"/>
          <w:b w:val="0"/>
          <w:bCs/>
          <w:u w:val="none"/>
          <w:vertAlign w:val="superscript"/>
        </w:rPr>
        <w:t>3</w:t>
      </w:r>
      <w:r>
        <w:rPr>
          <w:b w:val="0"/>
          <w:bCs/>
          <w:u w:val="none"/>
        </w:rPr>
        <w:t>，甲苯与二</w:t>
      </w:r>
      <w:r>
        <w:t>甲苯合计：20 mg/</w:t>
      </w:r>
      <w:r>
        <w:rPr>
          <w:rFonts w:hint="eastAsia"/>
        </w:rPr>
        <w:t>m</w:t>
      </w:r>
      <w:r>
        <w:rPr>
          <w:rFonts w:hint="eastAsia"/>
          <w:vertAlign w:val="superscript"/>
        </w:rPr>
        <w:t>3</w:t>
      </w:r>
      <w:r>
        <w:t>）。</w:t>
      </w:r>
    </w:p>
    <w:p>
      <w:pPr>
        <w:keepNext w:val="0"/>
        <w:keepLines w:val="0"/>
        <w:pageBreakBefore w:val="0"/>
        <w:widowControl w:val="0"/>
        <w:kinsoku/>
        <w:wordWrap/>
        <w:overflowPunct/>
        <w:topLinePunct w:val="0"/>
        <w:autoSpaceDE/>
        <w:autoSpaceDN/>
        <w:bidi w:val="0"/>
        <w:spacing w:line="480" w:lineRule="exact"/>
        <w:ind w:firstLine="480"/>
        <w:textAlignment w:val="auto"/>
        <w:rPr>
          <w:b w:val="0"/>
          <w:bCs w:val="0"/>
          <w:u w:val="none"/>
        </w:rPr>
      </w:pPr>
      <w:r>
        <w:rPr>
          <w:rFonts w:hint="eastAsia"/>
          <w:b w:val="0"/>
          <w:bCs w:val="0"/>
          <w:u w:val="none"/>
        </w:rPr>
        <w:t>抛丸颗粒物</w:t>
      </w:r>
      <w:r>
        <w:rPr>
          <w:b w:val="0"/>
          <w:bCs w:val="0"/>
          <w:u w:val="none"/>
        </w:rPr>
        <w:t>经过</w:t>
      </w:r>
      <w:r>
        <w:rPr>
          <w:rFonts w:hint="eastAsia"/>
          <w:b w:val="0"/>
          <w:bCs w:val="0"/>
          <w:u w:val="none"/>
        </w:rPr>
        <w:t>“集气罩+袋式除尘+</w:t>
      </w:r>
      <w:r>
        <w:rPr>
          <w:b w:val="0"/>
          <w:bCs w:val="0"/>
          <w:u w:val="none"/>
        </w:rPr>
        <w:t>15m排气筒</w:t>
      </w:r>
      <w:r>
        <w:rPr>
          <w:rFonts w:hint="eastAsia"/>
          <w:b w:val="0"/>
          <w:bCs w:val="0"/>
          <w:u w:val="none"/>
        </w:rPr>
        <w:t>”处理；</w:t>
      </w:r>
      <w:r>
        <w:rPr>
          <w:b w:val="0"/>
          <w:bCs w:val="0"/>
          <w:u w:val="none"/>
        </w:rPr>
        <w:t>焊接烟尘经过</w:t>
      </w:r>
      <w:r>
        <w:rPr>
          <w:rFonts w:hint="eastAsia"/>
          <w:b w:val="0"/>
          <w:bCs w:val="0"/>
          <w:u w:val="none"/>
        </w:rPr>
        <w:t>固定式集气罩对焊接烟尘集中收集后经过滤筒式除尘器净化后通过15m高排气筒达标排放；切割粉尘经过集气罩收集后经过滤筒式除尘器净化后通过15m高排气筒排放，均</w:t>
      </w:r>
      <w:r>
        <w:rPr>
          <w:b w:val="0"/>
          <w:bCs w:val="0"/>
          <w:u w:val="none"/>
        </w:rPr>
        <w:t>能够达到《大气污染物综合排放标准》（GB16297-1996）</w:t>
      </w:r>
      <w:r>
        <w:rPr>
          <w:rFonts w:hint="eastAsia"/>
          <w:b w:val="0"/>
          <w:bCs w:val="0"/>
          <w:u w:val="none"/>
        </w:rPr>
        <w:t>表2中二级</w:t>
      </w:r>
      <w:r>
        <w:rPr>
          <w:b w:val="0"/>
          <w:bCs w:val="0"/>
          <w:u w:val="none"/>
        </w:rPr>
        <w:t>标准</w:t>
      </w:r>
      <w:r>
        <w:rPr>
          <w:rFonts w:hint="eastAsia"/>
          <w:b w:val="0"/>
          <w:bCs w:val="0"/>
          <w:u w:val="none"/>
        </w:rPr>
        <w:t>及无组织</w:t>
      </w:r>
      <w:r>
        <w:rPr>
          <w:b w:val="0"/>
          <w:bCs w:val="0"/>
          <w:u w:val="none"/>
        </w:rPr>
        <w:t>排放标准</w:t>
      </w:r>
      <w:r>
        <w:rPr>
          <w:rFonts w:hint="eastAsia"/>
          <w:b w:val="0"/>
          <w:bCs w:val="0"/>
          <w:u w:val="none"/>
        </w:rPr>
        <w:t>；厨房</w:t>
      </w:r>
      <w:r>
        <w:rPr>
          <w:b w:val="0"/>
          <w:bCs w:val="0"/>
          <w:u w:val="none"/>
        </w:rPr>
        <w:t>油烟经过</w:t>
      </w:r>
      <w:r>
        <w:rPr>
          <w:rFonts w:hint="eastAsia"/>
          <w:b w:val="0"/>
          <w:bCs w:val="0"/>
          <w:u w:val="none"/>
        </w:rPr>
        <w:t>“集气罩+静电油烟净化器”处理</w:t>
      </w:r>
      <w:r>
        <w:rPr>
          <w:b w:val="0"/>
          <w:bCs w:val="0"/>
          <w:u w:val="none"/>
        </w:rPr>
        <w:t>，能够达到《</w:t>
      </w:r>
      <w:r>
        <w:rPr>
          <w:rFonts w:hint="eastAsia"/>
          <w:b w:val="0"/>
          <w:bCs w:val="0"/>
          <w:u w:val="none"/>
        </w:rPr>
        <w:t>餐饮业油烟污染物</w:t>
      </w:r>
      <w:r>
        <w:rPr>
          <w:b w:val="0"/>
          <w:bCs w:val="0"/>
          <w:u w:val="none"/>
        </w:rPr>
        <w:t>排放标准》（</w:t>
      </w:r>
      <w:r>
        <w:rPr>
          <w:rFonts w:hint="eastAsia"/>
          <w:b w:val="0"/>
          <w:bCs w:val="0"/>
          <w:u w:val="none"/>
        </w:rPr>
        <w:t>DB411604</w:t>
      </w:r>
      <w:r>
        <w:rPr>
          <w:b w:val="0"/>
          <w:bCs w:val="0"/>
          <w:u w:val="none"/>
        </w:rPr>
        <w:t>-</w:t>
      </w:r>
      <w:r>
        <w:rPr>
          <w:rFonts w:hint="eastAsia"/>
          <w:b w:val="0"/>
          <w:bCs w:val="0"/>
          <w:u w:val="none"/>
        </w:rPr>
        <w:t>2018</w:t>
      </w:r>
      <w:r>
        <w:rPr>
          <w:b w:val="0"/>
          <w:bCs w:val="0"/>
          <w:u w:val="none"/>
        </w:rPr>
        <w:t>）</w:t>
      </w:r>
      <w:r>
        <w:rPr>
          <w:rFonts w:hint="eastAsia"/>
          <w:b w:val="0"/>
          <w:bCs w:val="0"/>
          <w:u w:val="none"/>
        </w:rPr>
        <w:t>表1中中型餐饮服务单位油烟排放标准限值要求；无组织排放通过加强厂房内自然通风、全面通风、局部通风处理；各类</w:t>
      </w:r>
      <w:r>
        <w:rPr>
          <w:b w:val="0"/>
          <w:bCs w:val="0"/>
          <w:u w:val="none"/>
        </w:rPr>
        <w:t>废气污染物均能够达标排放。</w:t>
      </w:r>
      <w:r>
        <w:rPr>
          <w:rFonts w:hint="eastAsia"/>
          <w:b w:val="0"/>
          <w:bCs w:val="0"/>
          <w:u w:val="none"/>
        </w:rPr>
        <w:t>废气采取上述处理措施，对本项目周边环境影响较小。</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rFonts w:hint="eastAsia" w:eastAsiaTheme="minorEastAsia"/>
          <w:b/>
          <w:bCs/>
          <w:color w:val="auto"/>
          <w:sz w:val="24"/>
          <w:lang w:eastAsia="zh-CN"/>
        </w:rPr>
      </w:pPr>
      <w:r>
        <w:rPr>
          <w:rFonts w:hint="eastAsia"/>
          <w:b/>
          <w:bCs/>
          <w:color w:val="auto"/>
          <w:sz w:val="24"/>
          <w:lang w:val="en-US" w:eastAsia="zh-CN"/>
        </w:rPr>
        <w:t>2.</w:t>
      </w:r>
      <w:r>
        <w:rPr>
          <w:rStyle w:val="46"/>
          <w:rFonts w:hint="eastAsia"/>
          <w:b/>
          <w:bCs/>
          <w:color w:val="auto"/>
          <w:sz w:val="24"/>
          <w:lang w:val="en-US" w:eastAsia="zh-CN"/>
        </w:rPr>
        <w:t>地表水</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rPr>
        <w:t>本项目运营期生产工艺中废水循环使用，不外排；运营期排放废水主要为生活污水，员工生活污水排入化粪池进行处理；厨房含油废水</w:t>
      </w:r>
      <w:r>
        <w:rPr>
          <w:color w:val="auto"/>
        </w:rPr>
        <w:t>经隔油隔渣处理后</w:t>
      </w:r>
      <w:r>
        <w:rPr>
          <w:rFonts w:hint="eastAsia"/>
          <w:color w:val="auto"/>
        </w:rPr>
        <w:t>进入化粪池与员工产生的生活污水混合处理，经处理后水质满足长垣县第二污水处理厂进水水质要求，进入起重工业园区污水管网，经长垣县第二污水处理厂进行处理达标后排入乔堤沟，最终进入黄庄河。</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kern w:val="2"/>
        </w:rPr>
        <w:t>污水处理措施实施后，对本项目周边环境影响较小。</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rFonts w:hint="default"/>
          <w:b/>
          <w:bCs/>
          <w:color w:val="auto"/>
          <w:sz w:val="24"/>
          <w:lang w:val="en-US" w:eastAsia="zh-CN"/>
        </w:rPr>
      </w:pPr>
      <w:r>
        <w:rPr>
          <w:rStyle w:val="46"/>
          <w:rFonts w:hint="eastAsia"/>
          <w:b/>
          <w:bCs/>
          <w:color w:val="auto"/>
          <w:sz w:val="24"/>
          <w:lang w:val="en-US" w:eastAsia="zh-CN"/>
        </w:rPr>
        <w:t>3.地下水</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rPr>
        <w:t>项目依据《地下水工程防水技术规范》（</w:t>
      </w:r>
      <w:r>
        <w:rPr>
          <w:color w:val="auto"/>
        </w:rPr>
        <w:t>GB50108-2001</w:t>
      </w:r>
      <w:r>
        <w:rPr>
          <w:rFonts w:hint="eastAsia"/>
          <w:color w:val="auto"/>
        </w:rPr>
        <w:t>）、《一般工业固体废物贮存、处置场污染控制标准》（</w:t>
      </w:r>
      <w:r>
        <w:rPr>
          <w:color w:val="auto"/>
        </w:rPr>
        <w:t>GB18599-2001</w:t>
      </w:r>
      <w:r>
        <w:rPr>
          <w:rFonts w:hint="eastAsia"/>
          <w:color w:val="auto"/>
        </w:rPr>
        <w:t>）及</w:t>
      </w:r>
      <w:r>
        <w:rPr>
          <w:color w:val="auto"/>
        </w:rPr>
        <w:t>2013</w:t>
      </w:r>
      <w:r>
        <w:rPr>
          <w:rFonts w:hint="eastAsia"/>
          <w:color w:val="auto"/>
        </w:rPr>
        <w:t>年修改单、《危险废物贮存污染控制标准》（</w:t>
      </w:r>
      <w:r>
        <w:rPr>
          <w:color w:val="auto"/>
        </w:rPr>
        <w:t>GB18597-2001</w:t>
      </w:r>
      <w:r>
        <w:rPr>
          <w:rFonts w:hint="eastAsia"/>
          <w:color w:val="auto"/>
        </w:rPr>
        <w:t>）的要求，针对本项目可能对地下水造成的污染情况，建议建设单位采取分区防渗保护措施，通过采取地下水保护措施，可以把本项目对地下水的污染影响降低到最小，有效地保护厂区所在区域水文地质环境和地下水资源。</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rFonts w:hint="default" w:eastAsiaTheme="minorEastAsia"/>
          <w:b/>
          <w:bCs/>
          <w:color w:val="auto"/>
          <w:sz w:val="24"/>
          <w:lang w:val="en-US" w:eastAsia="zh-CN"/>
        </w:rPr>
      </w:pPr>
      <w:r>
        <w:rPr>
          <w:rStyle w:val="46"/>
          <w:rFonts w:hint="eastAsia"/>
          <w:b/>
          <w:bCs/>
          <w:color w:val="auto"/>
          <w:sz w:val="24"/>
          <w:lang w:val="en-US" w:eastAsia="zh-CN"/>
        </w:rPr>
        <w:t>4.声环境</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rFonts w:hint="eastAsia"/>
          <w:color w:val="auto"/>
        </w:rPr>
        <w:t>项目运营期，通过对设备合理布置，并对机械进行了消声、减振、吸声、隔声等工程措施以及距离的衰减后，噪声排放可达到《工业企业厂界环境噪声排放标准》（</w:t>
      </w:r>
      <w:r>
        <w:rPr>
          <w:color w:val="auto"/>
        </w:rPr>
        <w:t>GB 12348-2008</w:t>
      </w:r>
      <w:r>
        <w:rPr>
          <w:rFonts w:hint="eastAsia"/>
          <w:color w:val="auto"/>
        </w:rPr>
        <w:t>）中的3类标准要求。</w:t>
      </w:r>
    </w:p>
    <w:p>
      <w:pPr>
        <w:keepNext w:val="0"/>
        <w:keepLines w:val="0"/>
        <w:pageBreakBefore w:val="0"/>
        <w:widowControl w:val="0"/>
        <w:kinsoku/>
        <w:wordWrap/>
        <w:overflowPunct/>
        <w:topLinePunct w:val="0"/>
        <w:autoSpaceDE/>
        <w:autoSpaceDN/>
        <w:bidi w:val="0"/>
        <w:spacing w:line="480" w:lineRule="exact"/>
        <w:ind w:firstLine="480"/>
        <w:textAlignment w:val="auto"/>
        <w:rPr>
          <w:rStyle w:val="46"/>
          <w:b/>
          <w:bCs/>
          <w:color w:val="auto"/>
          <w:sz w:val="24"/>
        </w:rPr>
      </w:pPr>
      <w:r>
        <w:rPr>
          <w:rStyle w:val="46"/>
          <w:rFonts w:hint="eastAsia"/>
          <w:b/>
          <w:bCs/>
          <w:color w:val="auto"/>
          <w:sz w:val="24"/>
          <w:lang w:val="en-US" w:eastAsia="zh-CN"/>
        </w:rPr>
        <w:t>5.</w:t>
      </w:r>
      <w:r>
        <w:rPr>
          <w:rStyle w:val="46"/>
          <w:b/>
          <w:bCs/>
          <w:color w:val="auto"/>
          <w:sz w:val="24"/>
        </w:rPr>
        <w:t>固体废物</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color w:val="auto"/>
        </w:rPr>
        <w:t>本项目生产过程产生的</w:t>
      </w:r>
      <w:r>
        <w:rPr>
          <w:rFonts w:hint="eastAsia"/>
          <w:color w:val="auto"/>
        </w:rPr>
        <w:t>废切削液、漆渣</w:t>
      </w:r>
      <w:r>
        <w:rPr>
          <w:color w:val="auto"/>
        </w:rPr>
        <w:t>、废料桶、</w:t>
      </w:r>
      <w:r>
        <w:rPr>
          <w:rFonts w:hint="eastAsia"/>
          <w:color w:val="auto"/>
        </w:rPr>
        <w:t>废机油</w:t>
      </w:r>
      <w:r>
        <w:rPr>
          <w:color w:val="auto"/>
        </w:rPr>
        <w:t>、废过滤棉等均属于危险废物，建设单位拟委托</w:t>
      </w:r>
      <w:r>
        <w:rPr>
          <w:rFonts w:hint="eastAsia"/>
          <w:color w:val="auto"/>
        </w:rPr>
        <w:t>河南中环信环保科技股份有限公司</w:t>
      </w:r>
      <w:r>
        <w:rPr>
          <w:color w:val="auto"/>
        </w:rPr>
        <w:t>对上述危险废物进行处理处置。本项目处置危险固废在转移过程中符合《中华人民共和国固体废弃物污染环境防治法》（2015年修订），并执行《危险废物转移联单管理办法》规定的各项程序。</w:t>
      </w:r>
    </w:p>
    <w:p>
      <w:pPr>
        <w:keepNext w:val="0"/>
        <w:keepLines w:val="0"/>
        <w:pageBreakBefore w:val="0"/>
        <w:widowControl w:val="0"/>
        <w:kinsoku/>
        <w:wordWrap/>
        <w:overflowPunct/>
        <w:topLinePunct w:val="0"/>
        <w:autoSpaceDE/>
        <w:autoSpaceDN/>
        <w:bidi w:val="0"/>
        <w:spacing w:line="480" w:lineRule="exact"/>
        <w:ind w:firstLine="480"/>
        <w:textAlignment w:val="auto"/>
        <w:rPr>
          <w:color w:val="auto"/>
        </w:rPr>
      </w:pPr>
      <w:r>
        <w:rPr>
          <w:color w:val="auto"/>
        </w:rPr>
        <w:t>一般固体废物包括一般工业固体废物和生活垃圾，本项目生产过程中产生的一般工业废物包括金属边角料、集尘渣等，其出售给相关回收公司再利用。项目职工生活垃圾则委托当地环卫部门统一处理。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cs="Times New Roman"/>
          <w:b/>
          <w:bCs/>
          <w:color w:val="auto"/>
        </w:rPr>
      </w:pPr>
      <w:r>
        <w:rPr>
          <w:rFonts w:hint="eastAsia" w:cs="Times New Roman"/>
          <w:b/>
          <w:bCs/>
          <w:color w:val="auto"/>
          <w:lang w:val="en-US" w:eastAsia="zh-CN"/>
        </w:rPr>
        <w:t>二.总评价结论</w:t>
      </w:r>
    </w:p>
    <w:p>
      <w:pPr>
        <w:keepNext w:val="0"/>
        <w:keepLines w:val="0"/>
        <w:pageBreakBefore w:val="0"/>
        <w:widowControl w:val="0"/>
        <w:kinsoku/>
        <w:wordWrap/>
        <w:overflowPunct/>
        <w:topLinePunct w:val="0"/>
        <w:autoSpaceDE/>
        <w:autoSpaceDN/>
        <w:bidi w:val="0"/>
        <w:spacing w:line="480" w:lineRule="exact"/>
        <w:ind w:firstLine="482"/>
        <w:textAlignment w:val="auto"/>
        <w:rPr>
          <w:b w:val="0"/>
          <w:bCs w:val="0"/>
        </w:rPr>
      </w:pPr>
      <w:bookmarkStart w:id="283" w:name="_Toc32009"/>
      <w:bookmarkStart w:id="284" w:name="_Toc5839"/>
      <w:bookmarkStart w:id="285" w:name="_Toc22133"/>
      <w:bookmarkStart w:id="286" w:name="_Toc18958"/>
      <w:bookmarkStart w:id="287" w:name="_Toc22335"/>
      <w:bookmarkStart w:id="288" w:name="_Toc10687"/>
      <w:bookmarkStart w:id="289" w:name="_Toc11749"/>
      <w:bookmarkStart w:id="290" w:name="_Toc20732"/>
      <w:bookmarkStart w:id="291" w:name="_Toc6149"/>
      <w:bookmarkStart w:id="292" w:name="_Toc29747"/>
      <w:bookmarkStart w:id="293" w:name="_Toc13306"/>
      <w:bookmarkStart w:id="294" w:name="_Toc1785"/>
      <w:r>
        <w:rPr>
          <w:b w:val="0"/>
          <w:bCs w:val="0"/>
        </w:rPr>
        <w:t>纽科伦（新乡）起重机有限公司年产2万台起重机、100台立体车库、3万台电动葫芦及配件</w:t>
      </w:r>
      <w:r>
        <w:rPr>
          <w:rFonts w:hint="eastAsia"/>
          <w:b w:val="0"/>
          <w:bCs w:val="0"/>
        </w:rPr>
        <w:t>项目符合国家产业政策和地方相关规划，项目选址可行。在认真落实设计及环评提出的各项污染防治及风险控制措施后，污染物能够稳定达标排放，对环境影响不大，工程环境风险在可接受水平内，项目建成后具有良好的经济效益、社会效益和环境影响效益。在此前提下，本项目的建设从环境保护的角度考虑是可行的。</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r>
        <w:t>5.2 审批部门审批决定</w:t>
      </w:r>
      <w:bookmarkEnd w:id="283"/>
      <w:bookmarkEnd w:id="284"/>
      <w:bookmarkEnd w:id="285"/>
      <w:bookmarkEnd w:id="286"/>
      <w:bookmarkEnd w:id="287"/>
      <w:bookmarkEnd w:id="288"/>
      <w:bookmarkEnd w:id="289"/>
      <w:bookmarkEnd w:id="290"/>
      <w:bookmarkEnd w:id="291"/>
      <w:bookmarkEnd w:id="292"/>
      <w:bookmarkEnd w:id="293"/>
      <w:bookmarkEnd w:id="294"/>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hint="eastAsia" w:cs="Times New Roman"/>
        </w:rPr>
        <w:t>你公司委托</w:t>
      </w:r>
      <w:r>
        <w:rPr>
          <w:rFonts w:hint="eastAsia" w:cs="Times New Roman"/>
          <w:lang w:val="en-US" w:eastAsia="zh-CN"/>
        </w:rPr>
        <w:t>广州市环境保护工程设计院有限公司</w:t>
      </w:r>
      <w:r>
        <w:rPr>
          <w:rFonts w:hint="eastAsia" w:cs="Times New Roman"/>
        </w:rPr>
        <w:t>编制的</w:t>
      </w:r>
      <w:r>
        <w:rPr>
          <w:rFonts w:cs="Times New Roman"/>
        </w:rPr>
        <w:t>《</w:t>
      </w:r>
      <w:r>
        <w:t>纽科伦（新乡）起重机有限公司</w:t>
      </w:r>
      <w:r>
        <w:rPr>
          <w:rFonts w:hint="eastAsia"/>
          <w:lang w:val="en-US" w:eastAsia="zh-CN"/>
        </w:rPr>
        <w:t>年产2万台起重机、100台立体车库、3万台电动葫芦及配件</w:t>
      </w:r>
      <w:r>
        <w:t>项目</w:t>
      </w:r>
      <w:r>
        <w:rPr>
          <w:rFonts w:cs="Times New Roman"/>
        </w:rPr>
        <w:t>》</w:t>
      </w:r>
      <w:r>
        <w:rPr>
          <w:rFonts w:hint="eastAsia" w:cs="Times New Roman"/>
        </w:rPr>
        <w:t>（以下简称《报告书》）收悉，经研究，审批意见如下：</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fldChar w:fldCharType="begin"/>
      </w:r>
      <w:r>
        <w:rPr>
          <w:rFonts w:cs="Times New Roman"/>
        </w:rPr>
        <w:instrText xml:space="preserve"> = 1 \* CHINESENUM3 \* MERGEFORMAT </w:instrText>
      </w:r>
      <w:r>
        <w:rPr>
          <w:rFonts w:cs="Times New Roman"/>
        </w:rPr>
        <w:fldChar w:fldCharType="separate"/>
      </w:r>
      <w:r>
        <w:rPr>
          <w:rFonts w:cs="Times New Roman"/>
        </w:rPr>
        <w:t>一</w:t>
      </w:r>
      <w:r>
        <w:rPr>
          <w:rFonts w:cs="Times New Roman"/>
        </w:rPr>
        <w:fldChar w:fldCharType="end"/>
      </w:r>
      <w:r>
        <w:rPr>
          <w:rFonts w:cs="Times New Roman"/>
        </w:rPr>
        <w:t>、</w:t>
      </w:r>
      <w:r>
        <w:rPr>
          <w:rFonts w:hint="eastAsia" w:cs="Times New Roman"/>
          <w:lang w:val="en-US" w:eastAsia="zh-CN"/>
        </w:rPr>
        <w:t>我局</w:t>
      </w:r>
      <w:r>
        <w:rPr>
          <w:rFonts w:hint="eastAsia" w:cs="Times New Roman"/>
        </w:rPr>
        <w:t>批准该</w:t>
      </w:r>
      <w:r>
        <w:rPr>
          <w:rFonts w:cs="Times New Roman"/>
        </w:rPr>
        <w:t>《报告书》</w:t>
      </w:r>
      <w:r>
        <w:rPr>
          <w:rFonts w:hint="eastAsia" w:cs="Times New Roman"/>
          <w:lang w:eastAsia="zh-CN"/>
        </w:rPr>
        <w:t>。</w:t>
      </w:r>
      <w:r>
        <w:rPr>
          <w:rFonts w:hint="eastAsia" w:cs="Times New Roman"/>
          <w:lang w:val="en-US" w:eastAsia="zh-CN"/>
        </w:rPr>
        <w:t>原则</w:t>
      </w:r>
      <w:r>
        <w:rPr>
          <w:rFonts w:hint="eastAsia" w:cs="Times New Roman"/>
        </w:rPr>
        <w:t>同意你公司</w:t>
      </w:r>
      <w:r>
        <w:rPr>
          <w:rFonts w:hint="eastAsia" w:cs="Times New Roman"/>
          <w:lang w:val="en-US" w:eastAsia="zh-CN"/>
        </w:rPr>
        <w:t>按照《报告书》所列项目的性质、规模、地点、采用的生产工艺和环境保护对策措施进行项目建设</w:t>
      </w:r>
      <w:r>
        <w:rPr>
          <w:rFonts w:hint="eastAsia" w:cs="Times New Roman"/>
        </w:rPr>
        <w:t>。</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fldChar w:fldCharType="begin"/>
      </w:r>
      <w:r>
        <w:rPr>
          <w:rFonts w:cs="Times New Roman"/>
        </w:rPr>
        <w:instrText xml:space="preserve"> = 2 \* CHINESENUM3 \* MERGEFORMAT </w:instrText>
      </w:r>
      <w:r>
        <w:rPr>
          <w:rFonts w:cs="Times New Roman"/>
        </w:rPr>
        <w:fldChar w:fldCharType="separate"/>
      </w:r>
      <w:r>
        <w:rPr>
          <w:rFonts w:cs="Times New Roman"/>
        </w:rPr>
        <w:t>二</w:t>
      </w:r>
      <w:r>
        <w:rPr>
          <w:rFonts w:cs="Times New Roman"/>
        </w:rPr>
        <w:fldChar w:fldCharType="end"/>
      </w:r>
      <w:r>
        <w:rPr>
          <w:rFonts w:cs="Times New Roman"/>
        </w:rPr>
        <w:t>、</w:t>
      </w:r>
      <w:r>
        <w:rPr>
          <w:rFonts w:hint="eastAsia" w:cs="Times New Roman"/>
        </w:rPr>
        <w:t>你公司应</w:t>
      </w:r>
      <w:r>
        <w:rPr>
          <w:rFonts w:cs="Times New Roman"/>
        </w:rPr>
        <w:t>严格执行“三同时”制度，认真落实</w:t>
      </w:r>
      <w:r>
        <w:rPr>
          <w:rFonts w:hint="eastAsia" w:cs="Times New Roman"/>
        </w:rPr>
        <w:t>《报告书》提出的</w:t>
      </w:r>
      <w:r>
        <w:rPr>
          <w:rFonts w:cs="Times New Roman"/>
        </w:rPr>
        <w:t>要求及建议</w:t>
      </w:r>
      <w:r>
        <w:rPr>
          <w:rFonts w:hint="eastAsia" w:cs="Times New Roman"/>
          <w:lang w:eastAsia="zh-CN"/>
        </w:rPr>
        <w:t>。</w:t>
      </w:r>
      <w:r>
        <w:rPr>
          <w:rFonts w:hint="eastAsia" w:cs="Times New Roman"/>
          <w:lang w:val="en-US" w:eastAsia="zh-CN"/>
        </w:rPr>
        <w:t>环评中提及的污染物防治措施可以作为该项目污染治理设施设计的依据，确保各项污染物达标排放</w:t>
      </w:r>
      <w:r>
        <w:rPr>
          <w:rFonts w:cs="Times New Roman"/>
        </w:rPr>
        <w:t>。</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cs="Times New Roman"/>
          <w:lang w:val="en-US" w:eastAsia="zh-CN"/>
        </w:rPr>
      </w:pPr>
      <w:r>
        <w:rPr>
          <w:rFonts w:cs="Times New Roman"/>
        </w:rPr>
        <w:fldChar w:fldCharType="begin"/>
      </w:r>
      <w:r>
        <w:rPr>
          <w:rFonts w:cs="Times New Roman"/>
        </w:rPr>
        <w:instrText xml:space="preserve"> = 3 \* CHINESENUM3 \* MERGEFORMAT </w:instrText>
      </w:r>
      <w:r>
        <w:rPr>
          <w:rFonts w:cs="Times New Roman"/>
        </w:rPr>
        <w:fldChar w:fldCharType="separate"/>
      </w:r>
      <w:r>
        <w:rPr>
          <w:rFonts w:cs="Times New Roman"/>
        </w:rPr>
        <w:t>三</w:t>
      </w:r>
      <w:r>
        <w:rPr>
          <w:rFonts w:cs="Times New Roman"/>
        </w:rPr>
        <w:fldChar w:fldCharType="end"/>
      </w:r>
      <w:r>
        <w:rPr>
          <w:rFonts w:cs="Times New Roman"/>
        </w:rPr>
        <w:t>、</w:t>
      </w:r>
      <w:r>
        <w:rPr>
          <w:rFonts w:hint="eastAsia" w:cs="Times New Roman"/>
          <w:lang w:val="en-US" w:eastAsia="zh-CN"/>
        </w:rPr>
        <w:t>项目产生的噪声，要采取合理降噪措施，噪声排放执行《工业企业噪声排放标准》（GB12348-2008）3类标准。</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cs="Times New Roman"/>
          <w:lang w:val="en-US" w:eastAsia="zh-CN"/>
        </w:rPr>
      </w:pPr>
      <w:r>
        <w:rPr>
          <w:rFonts w:hint="eastAsia" w:cs="Times New Roman"/>
          <w:lang w:val="en-US" w:eastAsia="zh-CN"/>
        </w:rPr>
        <w:t>四、项目产生的废水、废气、固废须按照环评报告书提出的治理措施进行处理，并达到相应的污染物排放标准。</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hint="eastAsia" w:cs="Times New Roman"/>
          <w:lang w:val="en-US" w:eastAsia="zh-CN"/>
        </w:rPr>
        <w:t>五、</w:t>
      </w:r>
      <w:r>
        <w:rPr>
          <w:rFonts w:hint="eastAsia" w:cs="Times New Roman"/>
        </w:rPr>
        <w:t>项目</w:t>
      </w:r>
      <w:r>
        <w:rPr>
          <w:rFonts w:hint="eastAsia" w:cs="Times New Roman"/>
          <w:lang w:val="en-US" w:eastAsia="zh-CN"/>
        </w:rPr>
        <w:t>污染物</w:t>
      </w:r>
      <w:r>
        <w:rPr>
          <w:rFonts w:hint="eastAsia" w:cs="Times New Roman"/>
        </w:rPr>
        <w:t>总量控制指标按照总量相关</w:t>
      </w:r>
      <w:r>
        <w:rPr>
          <w:rFonts w:hint="eastAsia" w:cs="Times New Roman"/>
          <w:lang w:val="en-US" w:eastAsia="zh-CN"/>
        </w:rPr>
        <w:t>规定</w:t>
      </w:r>
      <w:r>
        <w:rPr>
          <w:rFonts w:hint="eastAsia" w:cs="Times New Roman"/>
        </w:rPr>
        <w:t>执行。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cs="Times New Roman"/>
        </w:rPr>
      </w:pPr>
      <w:r>
        <w:rPr>
          <w:rFonts w:hint="eastAsia" w:cs="Times New Roman"/>
          <w:lang w:val="en-US" w:eastAsia="zh-CN"/>
        </w:rPr>
        <w:t>六、如果今后国家或我省颁布污染物排放限值的新标准，届时你公司应按新的排放标准执行</w:t>
      </w:r>
      <w:r>
        <w:rPr>
          <w:rFonts w:hint="eastAsia" w:cs="Times New Roma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cs="Times New Roman"/>
        </w:rPr>
      </w:pPr>
      <w:r>
        <w:rPr>
          <w:rFonts w:hint="eastAsia" w:cs="Times New Roman"/>
          <w:lang w:val="en-US" w:eastAsia="zh-CN"/>
        </w:rPr>
        <w:t>七、</w:t>
      </w:r>
      <w:r>
        <w:rPr>
          <w:rFonts w:hint="eastAsia" w:cs="Times New Roman"/>
        </w:rPr>
        <w:t>本项目</w:t>
      </w:r>
      <w:r>
        <w:rPr>
          <w:rFonts w:hint="eastAsia" w:cs="Times New Roman"/>
          <w:lang w:val="en-US" w:eastAsia="zh-CN"/>
        </w:rPr>
        <w:t>的性质、规模、地点、采用的生产工艺或者防治污染措施发生重大变动的，或本批复下达之日起超过五年方开工建设的，应当到我局重新报批或审核本项目的环境影响评价文件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cs="Times New Roman"/>
        </w:rPr>
      </w:pPr>
      <w:r>
        <w:rPr>
          <w:rFonts w:hint="eastAsia" w:cs="Times New Roman"/>
          <w:lang w:val="en-US" w:eastAsia="zh-CN"/>
        </w:rPr>
        <w:t>八、</w:t>
      </w:r>
      <w:r>
        <w:rPr>
          <w:rFonts w:hint="eastAsia" w:cs="Times New Roman"/>
        </w:rPr>
        <w:t>该项目环保“三同时”制度和日常环保监管工作由长垣</w:t>
      </w:r>
      <w:r>
        <w:rPr>
          <w:rFonts w:hint="eastAsia" w:cs="Times New Roman"/>
          <w:lang w:val="en-US" w:eastAsia="zh-CN"/>
        </w:rPr>
        <w:t>县</w:t>
      </w:r>
      <w:r>
        <w:rPr>
          <w:rFonts w:hint="eastAsia" w:cs="Times New Roman"/>
        </w:rPr>
        <w:t>环境监察大队负责，并明确责任人，加强检查和监管。</w:t>
      </w:r>
    </w:p>
    <w:p>
      <w:pPr>
        <w:pStyle w:val="2"/>
        <w:keepNext/>
        <w:keepLines/>
        <w:pageBreakBefore w:val="0"/>
        <w:widowControl w:val="0"/>
        <w:numPr>
          <w:ilvl w:val="0"/>
          <w:numId w:val="2"/>
        </w:numPr>
        <w:kinsoku/>
        <w:wordWrap/>
        <w:overflowPunct/>
        <w:topLinePunct w:val="0"/>
        <w:autoSpaceDE/>
        <w:autoSpaceDN/>
        <w:bidi w:val="0"/>
        <w:adjustRightInd/>
        <w:snapToGrid/>
        <w:spacing w:beforeLines="0" w:afterLines="0" w:line="520" w:lineRule="exact"/>
        <w:textAlignment w:val="auto"/>
      </w:pPr>
      <w:bookmarkStart w:id="295" w:name="_Toc23650"/>
      <w:bookmarkStart w:id="296" w:name="_Toc24203"/>
      <w:bookmarkStart w:id="297" w:name="_Toc31939"/>
      <w:bookmarkStart w:id="298" w:name="_Toc32332"/>
      <w:bookmarkStart w:id="299" w:name="_Toc28886"/>
      <w:bookmarkStart w:id="300" w:name="_Toc21605"/>
      <w:bookmarkStart w:id="301" w:name="_Toc7806"/>
      <w:bookmarkStart w:id="302" w:name="_Toc3576"/>
      <w:bookmarkStart w:id="303" w:name="_Toc25094"/>
      <w:bookmarkStart w:id="304" w:name="_Toc20401"/>
      <w:bookmarkStart w:id="305" w:name="_Toc32378"/>
      <w:bookmarkStart w:id="306" w:name="_Toc9118"/>
      <w:r>
        <w:t>验收执行标准</w:t>
      </w:r>
      <w:bookmarkEnd w:id="295"/>
      <w:bookmarkEnd w:id="296"/>
      <w:bookmarkEnd w:id="297"/>
      <w:bookmarkEnd w:id="298"/>
      <w:bookmarkEnd w:id="299"/>
      <w:bookmarkEnd w:id="300"/>
      <w:bookmarkEnd w:id="301"/>
      <w:bookmarkEnd w:id="302"/>
      <w:bookmarkEnd w:id="303"/>
      <w:bookmarkEnd w:id="304"/>
      <w:bookmarkEnd w:id="305"/>
      <w:bookmarkEnd w:id="306"/>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bookmarkStart w:id="307" w:name="_Toc20123"/>
      <w:bookmarkStart w:id="308" w:name="_Toc28902"/>
      <w:bookmarkStart w:id="309" w:name="_Toc4293"/>
      <w:bookmarkStart w:id="310" w:name="_Toc1653"/>
      <w:bookmarkStart w:id="311" w:name="_Toc7489"/>
      <w:bookmarkStart w:id="312" w:name="_Toc14911"/>
      <w:bookmarkStart w:id="313" w:name="_Toc3317"/>
      <w:bookmarkStart w:id="314" w:name="_Toc4328"/>
      <w:bookmarkStart w:id="315" w:name="_Toc31254"/>
      <w:bookmarkStart w:id="316" w:name="_Toc2478"/>
      <w:bookmarkStart w:id="317" w:name="_Toc13795"/>
      <w:bookmarkStart w:id="318" w:name="_Toc13781"/>
      <w:r>
        <w:t>6.1</w:t>
      </w:r>
      <w:bookmarkEnd w:id="307"/>
      <w:bookmarkEnd w:id="308"/>
      <w:bookmarkEnd w:id="309"/>
      <w:bookmarkEnd w:id="310"/>
      <w:bookmarkEnd w:id="311"/>
      <w:bookmarkEnd w:id="312"/>
      <w:bookmarkEnd w:id="313"/>
      <w:bookmarkEnd w:id="314"/>
      <w:bookmarkEnd w:id="315"/>
      <w:bookmarkEnd w:id="316"/>
      <w:r>
        <w:rPr>
          <w:rFonts w:hint="eastAsia"/>
        </w:rPr>
        <w:t>环境质量标准</w:t>
      </w:r>
      <w:bookmarkEnd w:id="317"/>
      <w:bookmarkEnd w:id="318"/>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b/>
          <w:bCs/>
          <w:sz w:val="24"/>
          <w:szCs w:val="24"/>
        </w:rPr>
      </w:pPr>
      <w:r>
        <w:rPr>
          <w:rFonts w:hint="eastAsia"/>
          <w:sz w:val="24"/>
          <w:szCs w:val="24"/>
        </w:rPr>
        <w:t>本项目环境质量标准见下表。</w:t>
      </w:r>
    </w:p>
    <w:p>
      <w:pPr>
        <w:keepNext w:val="0"/>
        <w:keepLines w:val="0"/>
        <w:pageBreakBefore w:val="0"/>
        <w:widowControl w:val="0"/>
        <w:kinsoku/>
        <w:wordWrap/>
        <w:overflowPunct/>
        <w:topLinePunct w:val="0"/>
        <w:autoSpaceDE/>
        <w:autoSpaceDN/>
        <w:bidi w:val="0"/>
        <w:adjustRightInd/>
        <w:snapToGrid/>
        <w:spacing w:line="520" w:lineRule="exact"/>
        <w:ind w:firstLine="422"/>
        <w:jc w:val="center"/>
        <w:textAlignment w:val="auto"/>
        <w:rPr>
          <w:rFonts w:cs="Times New Roman"/>
          <w:b/>
          <w:bCs/>
          <w:sz w:val="24"/>
          <w:szCs w:val="24"/>
        </w:rPr>
      </w:pPr>
      <w:r>
        <w:rPr>
          <w:rFonts w:cs="Times New Roman"/>
          <w:b/>
          <w:bCs/>
          <w:sz w:val="24"/>
          <w:szCs w:val="24"/>
        </w:rPr>
        <w:t>表6-</w:t>
      </w:r>
      <w:r>
        <w:rPr>
          <w:rFonts w:hint="eastAsia" w:cs="Times New Roman"/>
          <w:b/>
          <w:bCs/>
          <w:sz w:val="24"/>
          <w:szCs w:val="24"/>
        </w:rPr>
        <w:t>1</w:t>
      </w:r>
      <w:r>
        <w:rPr>
          <w:rFonts w:cs="Times New Roman"/>
          <w:sz w:val="24"/>
          <w:szCs w:val="24"/>
        </w:rPr>
        <w:t xml:space="preserve">   </w:t>
      </w:r>
      <w:r>
        <w:rPr>
          <w:rFonts w:hint="eastAsia" w:cs="Times New Roman"/>
          <w:b/>
          <w:bCs/>
          <w:sz w:val="24"/>
          <w:szCs w:val="24"/>
        </w:rPr>
        <w:t>环境质量</w:t>
      </w:r>
      <w:r>
        <w:rPr>
          <w:rFonts w:cs="Times New Roman"/>
          <w:b/>
          <w:bCs/>
          <w:sz w:val="24"/>
          <w:szCs w:val="24"/>
        </w:rPr>
        <w:t>标准</w:t>
      </w:r>
    </w:p>
    <w:tbl>
      <w:tblPr>
        <w:tblStyle w:val="21"/>
        <w:tblW w:w="85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2239"/>
        <w:gridCol w:w="2295"/>
        <w:gridCol w:w="1430"/>
        <w:gridCol w:w="14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bookmarkStart w:id="319" w:name="_Toc24556"/>
            <w:r>
              <w:rPr>
                <w:b/>
                <w:bCs/>
                <w:color w:val="000000" w:themeColor="text1"/>
                <w:sz w:val="21"/>
                <w:szCs w:val="21"/>
                <w14:textFill>
                  <w14:solidFill>
                    <w14:schemeClr w14:val="tx1"/>
                  </w14:solidFill>
                </w14:textFill>
              </w:rPr>
              <w:t>环境要素</w:t>
            </w:r>
          </w:p>
        </w:tc>
        <w:tc>
          <w:tcPr>
            <w:tcW w:w="2239" w:type="dxa"/>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标准名称及级(类)别</w:t>
            </w:r>
          </w:p>
        </w:tc>
        <w:tc>
          <w:tcPr>
            <w:tcW w:w="2295" w:type="dxa"/>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项目</w:t>
            </w:r>
          </w:p>
        </w:tc>
        <w:tc>
          <w:tcPr>
            <w:tcW w:w="2886" w:type="dxa"/>
            <w:gridSpan w:val="2"/>
            <w:tcBorders>
              <w:tl2br w:val="nil"/>
              <w:tr2bl w:val="nil"/>
            </w:tcBorders>
            <w:vAlign w:val="center"/>
          </w:tcPr>
          <w:p>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restart"/>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环境空气</w:t>
            </w:r>
          </w:p>
        </w:tc>
        <w:tc>
          <w:tcPr>
            <w:tcW w:w="2239" w:type="dxa"/>
            <w:vMerge w:val="restart"/>
            <w:tcBorders>
              <w:tl2br w:val="nil"/>
              <w:tr2bl w:val="nil"/>
            </w:tcBorders>
            <w:vAlign w:val="center"/>
          </w:tcPr>
          <w:p>
            <w:pPr>
              <w:autoSpaceDE w:val="0"/>
              <w:autoSpaceDN w:val="0"/>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《环境空气质量标准》</w:t>
            </w:r>
          </w:p>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（GB3095-2012）二级</w:t>
            </w: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SO</w:t>
            </w:r>
            <w:r>
              <w:rPr>
                <w:color w:val="000000" w:themeColor="text1"/>
                <w:kern w:val="0"/>
                <w:sz w:val="21"/>
                <w:szCs w:val="21"/>
                <w:vertAlign w:val="subscript"/>
                <w14:textFill>
                  <w14:solidFill>
                    <w14:schemeClr w14:val="tx1"/>
                  </w14:solidFill>
                </w14:textFill>
              </w:rPr>
              <w:t>2</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NO</w:t>
            </w:r>
            <w:r>
              <w:rPr>
                <w:color w:val="000000" w:themeColor="text1"/>
                <w:kern w:val="0"/>
                <w:sz w:val="21"/>
                <w:szCs w:val="21"/>
                <w:vertAlign w:val="subscript"/>
                <w14:textFill>
                  <w14:solidFill>
                    <w14:schemeClr w14:val="tx1"/>
                  </w14:solidFill>
                </w14:textFill>
              </w:rPr>
              <w:t>2</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TSP</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10</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highlight w:val="yellow"/>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PM</w:t>
            </w:r>
            <w:r>
              <w:rPr>
                <w:color w:val="000000" w:themeColor="text1"/>
                <w:kern w:val="0"/>
                <w:sz w:val="21"/>
                <w:szCs w:val="21"/>
                <w:vertAlign w:val="subscript"/>
                <w14:textFill>
                  <w14:solidFill>
                    <w14:schemeClr w14:val="tx1"/>
                  </w14:solidFill>
                </w14:textFill>
              </w:rPr>
              <w:t>2.5</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35</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24小时平均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75</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NO</w:t>
            </w:r>
            <w:r>
              <w:rPr>
                <w:rFonts w:hint="eastAsia"/>
                <w:color w:val="000000" w:themeColor="text1"/>
                <w:kern w:val="0"/>
                <w:sz w:val="21"/>
                <w:szCs w:val="21"/>
                <w:vertAlign w:val="subscript"/>
                <w14:textFill>
                  <w14:solidFill>
                    <w14:schemeClr w14:val="tx1"/>
                  </w14:solidFill>
                </w14:textFill>
              </w:rPr>
              <w:t>x</w:t>
            </w: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250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sz w:val="21"/>
                <w:szCs w:val="21"/>
              </w:rPr>
              <w:t>TSP</w:t>
            </w:r>
          </w:p>
        </w:tc>
        <w:tc>
          <w:tcPr>
            <w:tcW w:w="1430"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年平均</w:t>
            </w:r>
          </w:p>
        </w:tc>
        <w:tc>
          <w:tcPr>
            <w:tcW w:w="1456"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eastAsia="宋体"/>
                <w:color w:val="000000" w:themeColor="text1"/>
                <w:kern w:val="0"/>
                <w:sz w:val="21"/>
                <w:szCs w:val="21"/>
                <w:lang w:val="en-US" w:eastAsia="zh-CN"/>
                <w14:textFill>
                  <w14:solidFill>
                    <w14:schemeClr w14:val="tx1"/>
                  </w14:solidFill>
                </w14:textFill>
              </w:rPr>
              <w:t>200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1430"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1小时平均</w:t>
            </w:r>
          </w:p>
        </w:tc>
        <w:tc>
          <w:tcPr>
            <w:tcW w:w="1456" w:type="dxa"/>
            <w:tcBorders>
              <w:tl2br w:val="nil"/>
              <w:tr2bl w:val="nil"/>
            </w:tcBorders>
            <w:vAlign w:val="center"/>
          </w:tcPr>
          <w:p>
            <w:pPr>
              <w:snapToGrid w:val="0"/>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w:t>
            </w:r>
            <w:r>
              <w:rPr>
                <w:rFonts w:hint="eastAsia"/>
                <w:color w:val="000000" w:themeColor="text1"/>
                <w:kern w:val="0"/>
                <w:sz w:val="21"/>
                <w:szCs w:val="21"/>
                <w14:textFill>
                  <w14:solidFill>
                    <w14:schemeClr w14:val="tx1"/>
                  </w14:solidFill>
                </w14:textFill>
              </w:rPr>
              <w:t>0</w:t>
            </w:r>
            <w:r>
              <w:rPr>
                <w:rFonts w:eastAsia="TimesNewRomanPSMT"/>
                <w:color w:val="000000" w:themeColor="text1"/>
                <w:kern w:val="0"/>
                <w:sz w:val="21"/>
                <w:szCs w:val="21"/>
                <w14:textFill>
                  <w14:solidFill>
                    <w14:schemeClr w14:val="tx1"/>
                  </w14:solidFill>
                </w14:textFill>
              </w:rPr>
              <w:t>μg/m</w:t>
            </w:r>
            <w:r>
              <w:rPr>
                <w:rFonts w:eastAsia="TimesNewRomanPSMT"/>
                <w:color w:val="000000" w:themeColor="text1"/>
                <w:kern w:val="0"/>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《室内空气质量标准》</w:t>
            </w:r>
          </w:p>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（GB/T 18883-2002）表1相关标准</w:t>
            </w:r>
          </w:p>
        </w:tc>
        <w:tc>
          <w:tcPr>
            <w:tcW w:w="2295"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甲苯</w:t>
            </w:r>
          </w:p>
        </w:tc>
        <w:tc>
          <w:tcPr>
            <w:tcW w:w="1430"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1小时均值</w:t>
            </w:r>
          </w:p>
        </w:tc>
        <w:tc>
          <w:tcPr>
            <w:tcW w:w="1456"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0.20</w:t>
            </w:r>
            <w:r>
              <w:rPr>
                <w:sz w:val="21"/>
                <w:szCs w:val="21"/>
              </w:rPr>
              <w:t>mg/</w:t>
            </w:r>
            <w:r>
              <w:rPr>
                <w:rFonts w:hint="eastAsia"/>
                <w:sz w:val="21"/>
                <w:szCs w:val="21"/>
              </w:rPr>
              <w:t>m</w:t>
            </w:r>
            <w:r>
              <w:rPr>
                <w:rFonts w:hint="eastAsia"/>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二甲苯</w:t>
            </w:r>
          </w:p>
        </w:tc>
        <w:tc>
          <w:tcPr>
            <w:tcW w:w="1430"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1小时均值</w:t>
            </w:r>
          </w:p>
        </w:tc>
        <w:tc>
          <w:tcPr>
            <w:tcW w:w="1456" w:type="dxa"/>
            <w:tcBorders>
              <w:tl2br w:val="nil"/>
              <w:tr2bl w:val="nil"/>
            </w:tcBorders>
            <w:vAlign w:val="center"/>
          </w:tcPr>
          <w:p>
            <w:pPr>
              <w:snapToGrid w:val="0"/>
              <w:spacing w:line="240" w:lineRule="auto"/>
              <w:ind w:firstLine="0" w:firstLineChars="0"/>
              <w:jc w:val="center"/>
              <w:rPr>
                <w:rFonts w:hint="eastAsia"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0.20</w:t>
            </w:r>
            <w:r>
              <w:rPr>
                <w:sz w:val="21"/>
                <w:szCs w:val="21"/>
              </w:rPr>
              <w:t>mg/</w:t>
            </w:r>
            <w:r>
              <w:rPr>
                <w:rFonts w:hint="eastAsia"/>
                <w:sz w:val="21"/>
                <w:szCs w:val="21"/>
              </w:rPr>
              <w:t>m</w:t>
            </w:r>
            <w:r>
              <w:rPr>
                <w:rFonts w:hint="eastAsia"/>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restart"/>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地表水</w:t>
            </w:r>
          </w:p>
        </w:tc>
        <w:tc>
          <w:tcPr>
            <w:tcW w:w="2239" w:type="dxa"/>
            <w:vMerge w:val="restart"/>
            <w:tcBorders>
              <w:tl2br w:val="nil"/>
              <w:tr2bl w:val="nil"/>
            </w:tcBorders>
            <w:vAlign w:val="center"/>
          </w:tcPr>
          <w:p>
            <w:pPr>
              <w:autoSpaceDE w:val="0"/>
              <w:autoSpaceDN w:val="0"/>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《地表水环境质量标准》（GB3838-2002）</w:t>
            </w:r>
          </w:p>
          <w:p>
            <w:pPr>
              <w:autoSpaceDE w:val="0"/>
              <w:autoSpaceDN w:val="0"/>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Ⅲ</w:t>
            </w:r>
            <w:r>
              <w:rPr>
                <w:color w:val="000000" w:themeColor="text1"/>
                <w:kern w:val="0"/>
                <w:sz w:val="21"/>
                <w:szCs w:val="21"/>
                <w14:textFill>
                  <w14:solidFill>
                    <w14:schemeClr w14:val="tx1"/>
                  </w14:solidFill>
                </w14:textFill>
              </w:rPr>
              <w:t>类</w:t>
            </w: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pH</w:t>
            </w:r>
          </w:p>
        </w:tc>
        <w:tc>
          <w:tcPr>
            <w:tcW w:w="2886" w:type="dxa"/>
            <w:gridSpan w:val="2"/>
            <w:tcBorders>
              <w:tl2br w:val="nil"/>
              <w:tr2bl w:val="nil"/>
            </w:tcBorders>
            <w:vAlign w:val="center"/>
          </w:tcPr>
          <w:p>
            <w:pPr>
              <w:snapToGrid w:val="0"/>
              <w:spacing w:line="240" w:lineRule="auto"/>
              <w:ind w:firstLine="0" w:firstLineChars="0"/>
              <w:jc w:val="center"/>
              <w:rPr>
                <w:color w:val="0000FF"/>
                <w:sz w:val="21"/>
                <w:szCs w:val="21"/>
              </w:rPr>
            </w:pPr>
            <w:r>
              <w:rPr>
                <w:rFonts w:eastAsia="TimesNewRomanPSMT"/>
                <w:color w:val="auto"/>
                <w:kern w:val="0"/>
                <w:sz w:val="21"/>
                <w:szCs w:val="21"/>
              </w:rPr>
              <w:t>6</w:t>
            </w:r>
            <w:r>
              <w:rPr>
                <w:color w:val="auto"/>
                <w:kern w:val="0"/>
                <w:sz w:val="21"/>
                <w:szCs w:val="21"/>
              </w:rPr>
              <w:t>～</w:t>
            </w:r>
            <w:r>
              <w:rPr>
                <w:rFonts w:eastAsia="TimesNewRomanPSMT"/>
                <w:color w:val="auto"/>
                <w:kern w:val="0"/>
                <w:sz w:val="21"/>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COD</w:t>
            </w:r>
          </w:p>
        </w:tc>
        <w:tc>
          <w:tcPr>
            <w:tcW w:w="2886" w:type="dxa"/>
            <w:gridSpan w:val="2"/>
            <w:tcBorders>
              <w:tl2br w:val="nil"/>
              <w:tr2bl w:val="nil"/>
            </w:tcBorders>
            <w:vAlign w:val="center"/>
          </w:tcPr>
          <w:p>
            <w:pPr>
              <w:snapToGrid w:val="0"/>
              <w:spacing w:line="240" w:lineRule="auto"/>
              <w:ind w:firstLine="0" w:firstLineChars="0"/>
              <w:jc w:val="center"/>
              <w:rPr>
                <w:color w:val="auto"/>
                <w:sz w:val="21"/>
                <w:szCs w:val="21"/>
              </w:rPr>
            </w:pPr>
            <w:r>
              <w:rPr>
                <w:color w:val="auto"/>
                <w:kern w:val="0"/>
                <w:sz w:val="21"/>
                <w:szCs w:val="21"/>
              </w:rPr>
              <w:t>≤</w:t>
            </w:r>
            <w:r>
              <w:rPr>
                <w:rFonts w:hint="eastAsia"/>
                <w:color w:val="auto"/>
                <w:kern w:val="0"/>
                <w:sz w:val="21"/>
                <w:szCs w:val="21"/>
                <w:lang w:val="en-US" w:eastAsia="zh-CN"/>
              </w:rPr>
              <w:t>2</w:t>
            </w:r>
            <w:r>
              <w:rPr>
                <w:color w:val="auto"/>
                <w:kern w:val="0"/>
                <w:sz w:val="21"/>
                <w:szCs w:val="21"/>
              </w:rPr>
              <w:t>0mg/L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BOD</w:t>
            </w:r>
            <w:r>
              <w:rPr>
                <w:color w:val="000000" w:themeColor="text1"/>
                <w:kern w:val="0"/>
                <w:sz w:val="21"/>
                <w:szCs w:val="21"/>
                <w:vertAlign w:val="subscript"/>
                <w14:textFill>
                  <w14:solidFill>
                    <w14:schemeClr w14:val="tx1"/>
                  </w14:solidFill>
                </w14:textFill>
              </w:rPr>
              <w:t>5</w:t>
            </w:r>
          </w:p>
        </w:tc>
        <w:tc>
          <w:tcPr>
            <w:tcW w:w="2886" w:type="dxa"/>
            <w:gridSpan w:val="2"/>
            <w:tcBorders>
              <w:tl2br w:val="nil"/>
              <w:tr2bl w:val="nil"/>
            </w:tcBorders>
            <w:vAlign w:val="center"/>
          </w:tcPr>
          <w:p>
            <w:pPr>
              <w:snapToGrid w:val="0"/>
              <w:spacing w:line="240" w:lineRule="auto"/>
              <w:ind w:firstLine="0" w:firstLineChars="0"/>
              <w:jc w:val="center"/>
              <w:rPr>
                <w:color w:val="auto"/>
                <w:sz w:val="21"/>
                <w:szCs w:val="21"/>
              </w:rPr>
            </w:pPr>
            <w:r>
              <w:rPr>
                <w:color w:val="auto"/>
                <w:kern w:val="0"/>
                <w:sz w:val="21"/>
                <w:szCs w:val="21"/>
              </w:rPr>
              <w:t>≤</w:t>
            </w:r>
            <w:r>
              <w:rPr>
                <w:rFonts w:hint="eastAsia"/>
                <w:color w:val="auto"/>
                <w:kern w:val="0"/>
                <w:sz w:val="21"/>
                <w:szCs w:val="21"/>
                <w:lang w:val="en-US" w:eastAsia="zh-CN"/>
              </w:rPr>
              <w:t>4</w:t>
            </w:r>
            <w:r>
              <w:rPr>
                <w:color w:val="auto"/>
                <w:kern w:val="0"/>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氨氮</w:t>
            </w:r>
          </w:p>
        </w:tc>
        <w:tc>
          <w:tcPr>
            <w:tcW w:w="2886" w:type="dxa"/>
            <w:gridSpan w:val="2"/>
            <w:tcBorders>
              <w:tl2br w:val="nil"/>
              <w:tr2bl w:val="nil"/>
            </w:tcBorders>
            <w:vAlign w:val="center"/>
          </w:tcPr>
          <w:p>
            <w:pPr>
              <w:snapToGrid w:val="0"/>
              <w:spacing w:line="240" w:lineRule="auto"/>
              <w:ind w:firstLine="0" w:firstLineChars="0"/>
              <w:jc w:val="center"/>
              <w:rPr>
                <w:color w:val="auto"/>
                <w:sz w:val="21"/>
                <w:szCs w:val="21"/>
              </w:rPr>
            </w:pPr>
            <w:r>
              <w:rPr>
                <w:color w:val="auto"/>
                <w:kern w:val="0"/>
                <w:sz w:val="21"/>
                <w:szCs w:val="21"/>
              </w:rPr>
              <w:t>≤</w:t>
            </w:r>
            <w:r>
              <w:rPr>
                <w:rFonts w:hint="eastAsia"/>
                <w:color w:val="auto"/>
                <w:kern w:val="0"/>
                <w:sz w:val="21"/>
                <w:szCs w:val="21"/>
                <w:lang w:val="en-US" w:eastAsia="zh-CN"/>
              </w:rPr>
              <w:t>1.0</w:t>
            </w:r>
            <w:r>
              <w:rPr>
                <w:color w:val="auto"/>
                <w:kern w:val="0"/>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总磷</w:t>
            </w:r>
          </w:p>
        </w:tc>
        <w:tc>
          <w:tcPr>
            <w:tcW w:w="2886" w:type="dxa"/>
            <w:gridSpan w:val="2"/>
            <w:tcBorders>
              <w:tl2br w:val="nil"/>
              <w:tr2bl w:val="nil"/>
            </w:tcBorders>
            <w:vAlign w:val="center"/>
          </w:tcPr>
          <w:p>
            <w:pPr>
              <w:snapToGrid w:val="0"/>
              <w:spacing w:line="240" w:lineRule="auto"/>
              <w:ind w:firstLine="0" w:firstLineChars="0"/>
              <w:jc w:val="center"/>
              <w:rPr>
                <w:color w:val="auto"/>
                <w:kern w:val="0"/>
                <w:sz w:val="21"/>
                <w:szCs w:val="21"/>
              </w:rPr>
            </w:pPr>
            <w:r>
              <w:rPr>
                <w:color w:val="auto"/>
                <w:kern w:val="0"/>
                <w:sz w:val="21"/>
                <w:szCs w:val="21"/>
              </w:rPr>
              <w:t>≤0.</w:t>
            </w:r>
            <w:r>
              <w:rPr>
                <w:rFonts w:hint="eastAsia"/>
                <w:color w:val="auto"/>
                <w:kern w:val="0"/>
                <w:sz w:val="21"/>
                <w:szCs w:val="21"/>
                <w:lang w:val="en-US" w:eastAsia="zh-CN"/>
              </w:rPr>
              <w:t>2</w:t>
            </w:r>
            <w:r>
              <w:rPr>
                <w:color w:val="auto"/>
                <w:kern w:val="0"/>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restart"/>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声环境</w:t>
            </w:r>
          </w:p>
        </w:tc>
        <w:tc>
          <w:tcPr>
            <w:tcW w:w="2239" w:type="dxa"/>
            <w:vMerge w:val="restart"/>
            <w:tcBorders>
              <w:tl2br w:val="nil"/>
              <w:tr2bl w:val="nil"/>
            </w:tcBorders>
            <w:vAlign w:val="center"/>
          </w:tcPr>
          <w:p>
            <w:pPr>
              <w:autoSpaceDE w:val="0"/>
              <w:autoSpaceDN w:val="0"/>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《声环境质量标准》</w:t>
            </w:r>
          </w:p>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（GB3096-2008）</w:t>
            </w:r>
          </w:p>
        </w:tc>
        <w:tc>
          <w:tcPr>
            <w:tcW w:w="2295" w:type="dxa"/>
            <w:vMerge w:val="restart"/>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r>
              <w:rPr>
                <w:color w:val="000000" w:themeColor="text1"/>
                <w:kern w:val="0"/>
                <w:sz w:val="21"/>
                <w:szCs w:val="21"/>
                <w14:textFill>
                  <w14:solidFill>
                    <w14:schemeClr w14:val="tx1"/>
                  </w14:solidFill>
                </w14:textFill>
              </w:rPr>
              <w:t>类</w:t>
            </w:r>
          </w:p>
        </w:tc>
        <w:tc>
          <w:tcPr>
            <w:tcW w:w="2886" w:type="dxa"/>
            <w:gridSpan w:val="2"/>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昼间 </w:t>
            </w:r>
            <w:r>
              <w:rPr>
                <w:rFonts w:hint="eastAsia"/>
                <w:color w:val="000000" w:themeColor="text1"/>
                <w:kern w:val="0"/>
                <w:sz w:val="21"/>
                <w:szCs w:val="21"/>
                <w:lang w:val="en-US" w:eastAsia="zh-CN"/>
                <w14:textFill>
                  <w14:solidFill>
                    <w14:schemeClr w14:val="tx1"/>
                  </w14:solidFill>
                </w14:textFill>
              </w:rPr>
              <w:t>65</w:t>
            </w:r>
            <w:r>
              <w:rPr>
                <w:color w:val="000000" w:themeColor="text1"/>
                <w:kern w:val="0"/>
                <w:sz w:val="21"/>
                <w:szCs w:val="21"/>
                <w14:textFill>
                  <w14:solidFill>
                    <w14:schemeClr w14:val="tx1"/>
                  </w14:solidFill>
                </w14:textFill>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02"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39" w:type="dxa"/>
            <w:vMerge w:val="continue"/>
            <w:tcBorders>
              <w:tl2br w:val="nil"/>
              <w:tr2bl w:val="nil"/>
            </w:tcBorders>
            <w:vAlign w:val="center"/>
          </w:tcPr>
          <w:p>
            <w:pPr>
              <w:snapToGrid w:val="0"/>
              <w:spacing w:line="240" w:lineRule="auto"/>
              <w:ind w:firstLine="0" w:firstLineChars="0"/>
              <w:jc w:val="center"/>
              <w:rPr>
                <w:color w:val="000000" w:themeColor="text1"/>
                <w:sz w:val="21"/>
                <w:szCs w:val="21"/>
                <w14:textFill>
                  <w14:solidFill>
                    <w14:schemeClr w14:val="tx1"/>
                  </w14:solidFill>
                </w14:textFill>
              </w:rPr>
            </w:pPr>
          </w:p>
        </w:tc>
        <w:tc>
          <w:tcPr>
            <w:tcW w:w="2295" w:type="dxa"/>
            <w:vMerge w:val="continue"/>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p>
        </w:tc>
        <w:tc>
          <w:tcPr>
            <w:tcW w:w="2886" w:type="dxa"/>
            <w:gridSpan w:val="2"/>
            <w:tcBorders>
              <w:tl2br w:val="nil"/>
              <w:tr2bl w:val="nil"/>
            </w:tcBorders>
            <w:vAlign w:val="center"/>
          </w:tcPr>
          <w:p>
            <w:pPr>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 xml:space="preserve">夜间 </w:t>
            </w:r>
            <w:r>
              <w:rPr>
                <w:rFonts w:hint="eastAsia"/>
                <w:color w:val="000000" w:themeColor="text1"/>
                <w:kern w:val="0"/>
                <w:sz w:val="21"/>
                <w:szCs w:val="21"/>
                <w:lang w:val="en-US" w:eastAsia="zh-CN"/>
                <w14:textFill>
                  <w14:solidFill>
                    <w14:schemeClr w14:val="tx1"/>
                  </w14:solidFill>
                </w14:textFill>
              </w:rPr>
              <w:t>55</w:t>
            </w:r>
            <w:r>
              <w:rPr>
                <w:color w:val="000000" w:themeColor="text1"/>
                <w:kern w:val="0"/>
                <w:sz w:val="21"/>
                <w:szCs w:val="21"/>
                <w14:textFill>
                  <w14:solidFill>
                    <w14:schemeClr w14:val="tx1"/>
                  </w14:solidFill>
                </w14:textFill>
              </w:rPr>
              <w:t>dB(A)</w:t>
            </w:r>
          </w:p>
        </w:tc>
      </w:tr>
    </w:tbl>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320" w:name="_Toc7873"/>
      <w:r>
        <w:t>6.</w:t>
      </w:r>
      <w:r>
        <w:rPr>
          <w:rFonts w:hint="eastAsia"/>
        </w:rPr>
        <w:t>2</w:t>
      </w:r>
      <w:r>
        <w:t>污染物排放标准</w:t>
      </w:r>
      <w:bookmarkEnd w:id="319"/>
      <w:bookmarkEnd w:id="320"/>
    </w:p>
    <w:p>
      <w:pPr>
        <w:pageBreakBefore w:val="0"/>
        <w:widowControl w:val="0"/>
        <w:kinsoku/>
        <w:wordWrap/>
        <w:overflowPunct/>
        <w:topLinePunct w:val="0"/>
        <w:autoSpaceDE/>
        <w:autoSpaceDN/>
        <w:bidi w:val="0"/>
        <w:adjustRightInd/>
        <w:snapToGrid/>
        <w:spacing w:line="520" w:lineRule="exact"/>
        <w:ind w:firstLine="480"/>
        <w:textAlignment w:val="auto"/>
      </w:pPr>
      <w:r>
        <w:rPr>
          <w:rFonts w:hint="eastAsia"/>
        </w:rPr>
        <w:t>本项目污染物排放执行标准见下表。</w:t>
      </w:r>
    </w:p>
    <w:p>
      <w:pPr>
        <w:pageBreakBefore w:val="0"/>
        <w:widowControl w:val="0"/>
        <w:kinsoku/>
        <w:wordWrap/>
        <w:overflowPunct/>
        <w:topLinePunct w:val="0"/>
        <w:autoSpaceDE/>
        <w:autoSpaceDN/>
        <w:bidi w:val="0"/>
        <w:adjustRightInd/>
        <w:snapToGrid/>
        <w:spacing w:line="520" w:lineRule="exact"/>
        <w:ind w:firstLine="422"/>
        <w:jc w:val="center"/>
        <w:textAlignment w:val="auto"/>
        <w:rPr>
          <w:rFonts w:cs="Times New Roman"/>
          <w:b/>
          <w:bCs/>
          <w:sz w:val="24"/>
          <w:szCs w:val="24"/>
        </w:rPr>
      </w:pPr>
      <w:bookmarkStart w:id="321" w:name="_Toc22709"/>
      <w:r>
        <w:rPr>
          <w:rFonts w:cs="Times New Roman"/>
          <w:b/>
          <w:bCs/>
          <w:sz w:val="24"/>
          <w:szCs w:val="24"/>
        </w:rPr>
        <w:t>表6-</w:t>
      </w:r>
      <w:r>
        <w:rPr>
          <w:rFonts w:hint="eastAsia" w:cs="Times New Roman"/>
          <w:b/>
          <w:bCs/>
          <w:sz w:val="24"/>
          <w:szCs w:val="24"/>
        </w:rPr>
        <w:t>2</w:t>
      </w:r>
      <w:r>
        <w:rPr>
          <w:rFonts w:cs="Times New Roman"/>
          <w:sz w:val="24"/>
          <w:szCs w:val="24"/>
        </w:rPr>
        <w:t xml:space="preserve">   </w:t>
      </w:r>
      <w:r>
        <w:rPr>
          <w:rFonts w:cs="Times New Roman"/>
          <w:b/>
          <w:bCs/>
          <w:sz w:val="24"/>
          <w:szCs w:val="24"/>
        </w:rPr>
        <w:t>项目</w:t>
      </w:r>
      <w:bookmarkEnd w:id="321"/>
      <w:r>
        <w:rPr>
          <w:rFonts w:cs="Times New Roman"/>
          <w:b/>
          <w:bCs/>
          <w:sz w:val="24"/>
          <w:szCs w:val="24"/>
        </w:rPr>
        <w:t>污染物排放标准</w:t>
      </w:r>
    </w:p>
    <w:tbl>
      <w:tblPr>
        <w:tblStyle w:val="21"/>
        <w:tblW w:w="85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3271"/>
        <w:gridCol w:w="1232"/>
        <w:gridCol w:w="1666"/>
        <w:gridCol w:w="13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97" w:hRule="atLeast"/>
          <w:jc w:val="center"/>
        </w:trPr>
        <w:tc>
          <w:tcPr>
            <w:tcW w:w="1042" w:type="dxa"/>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bookmarkStart w:id="322" w:name="_Toc9081"/>
            <w:bookmarkStart w:id="323" w:name="_Toc12034"/>
            <w:bookmarkStart w:id="324" w:name="_Toc12303"/>
            <w:bookmarkStart w:id="325" w:name="_Toc15750"/>
            <w:bookmarkStart w:id="326" w:name="_Toc10090"/>
            <w:bookmarkStart w:id="327" w:name="_Toc8847"/>
            <w:bookmarkStart w:id="328" w:name="_Toc19931"/>
            <w:bookmarkStart w:id="329" w:name="_Toc13842"/>
            <w:bookmarkStart w:id="330" w:name="_Toc303"/>
            <w:bookmarkStart w:id="331" w:name="_Toc14543"/>
            <w:bookmarkStart w:id="332" w:name="_Toc25022"/>
            <w:r>
              <w:rPr>
                <w:b/>
                <w:bCs w:val="0"/>
                <w:color w:val="000000" w:themeColor="text1"/>
                <w:sz w:val="21"/>
                <w:szCs w:val="21"/>
                <w14:textFill>
                  <w14:solidFill>
                    <w14:schemeClr w14:val="tx1"/>
                  </w14:solidFill>
                </w14:textFill>
              </w:rPr>
              <w:t>污染物</w:t>
            </w:r>
          </w:p>
        </w:tc>
        <w:tc>
          <w:tcPr>
            <w:tcW w:w="3271" w:type="dxa"/>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标准名称及级(类)别</w:t>
            </w:r>
          </w:p>
        </w:tc>
        <w:tc>
          <w:tcPr>
            <w:tcW w:w="1232" w:type="dxa"/>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污染因子</w:t>
            </w:r>
          </w:p>
        </w:tc>
        <w:tc>
          <w:tcPr>
            <w:tcW w:w="2977" w:type="dxa"/>
            <w:gridSpan w:val="2"/>
            <w:tcBorders>
              <w:tl2br w:val="nil"/>
              <w:tr2bl w:val="nil"/>
            </w:tcBorders>
            <w:vAlign w:val="center"/>
          </w:tcPr>
          <w:p>
            <w:pPr>
              <w:spacing w:line="240" w:lineRule="auto"/>
              <w:ind w:firstLine="0" w:firstLineChars="0"/>
              <w:jc w:val="center"/>
              <w:rPr>
                <w:b/>
                <w:bCs w:val="0"/>
                <w:color w:val="000000" w:themeColor="text1"/>
                <w:sz w:val="21"/>
                <w:szCs w:val="21"/>
                <w14:textFill>
                  <w14:solidFill>
                    <w14:schemeClr w14:val="tx1"/>
                  </w14:solidFill>
                </w14:textFill>
              </w:rPr>
            </w:pPr>
            <w:r>
              <w:rPr>
                <w:b/>
                <w:bCs w:val="0"/>
                <w:color w:val="000000" w:themeColor="text1"/>
                <w:sz w:val="21"/>
                <w:szCs w:val="21"/>
                <w14:textFill>
                  <w14:solidFill>
                    <w14:schemeClr w14:val="tx1"/>
                  </w14:solidFill>
                </w14:textFill>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3271" w:type="dxa"/>
            <w:vMerge w:val="restart"/>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sz w:val="21"/>
                <w:szCs w:val="21"/>
              </w:rPr>
              <w:t>《河南省关于全省开展工业企业挥发性有机物专项治理工作中排放建议值的通知》（豫环攻坚办〔2017〕162号）</w:t>
            </w:r>
          </w:p>
        </w:tc>
        <w:tc>
          <w:tcPr>
            <w:tcW w:w="1232" w:type="dxa"/>
            <w:tcBorders>
              <w:tl2br w:val="nil"/>
              <w:tr2bl w:val="nil"/>
            </w:tcBorders>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eastAsiaTheme="minorEastAsia"/>
                <w:sz w:val="21"/>
                <w:szCs w:val="21"/>
              </w:rPr>
              <w:t>二甲苯</w:t>
            </w:r>
          </w:p>
        </w:tc>
        <w:tc>
          <w:tcPr>
            <w:tcW w:w="2977" w:type="dxa"/>
            <w:gridSpan w:val="2"/>
            <w:vMerge w:val="restart"/>
            <w:tcBorders>
              <w:tl2br w:val="nil"/>
              <w:tr2bl w:val="nil"/>
            </w:tcBorders>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合计：20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无组织：二甲苯0.2</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p>
          <w:p>
            <w:pPr>
              <w:spacing w:line="240" w:lineRule="auto"/>
              <w:ind w:firstLine="0" w:firstLineChars="0"/>
              <w:jc w:val="center"/>
              <w:rPr>
                <w:color w:val="000000" w:themeColor="text1"/>
                <w:sz w:val="21"/>
                <w:szCs w:val="21"/>
                <w:vertAlign w:val="superscript"/>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甲苯</w:t>
            </w:r>
            <w:r>
              <w:rPr>
                <w:rFonts w:hint="eastAsia"/>
                <w:color w:val="000000" w:themeColor="text1"/>
                <w:sz w:val="21"/>
                <w:szCs w:val="21"/>
                <w:lang w:val="en-US" w:eastAsia="zh-CN"/>
                <w14:textFill>
                  <w14:solidFill>
                    <w14:schemeClr w14:val="tx1"/>
                  </w14:solidFill>
                </w14:textFill>
              </w:rPr>
              <w:t>0.6</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color w:val="000000" w:themeColor="text1"/>
                <w:sz w:val="21"/>
                <w:szCs w:val="21"/>
                <w:vertAlign w:val="superscript"/>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default"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苯0.1</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eastAsiaTheme="minorEastAsia"/>
                <w:sz w:val="21"/>
                <w:szCs w:val="21"/>
              </w:rPr>
              <w:t>甲苯</w:t>
            </w:r>
          </w:p>
        </w:tc>
        <w:tc>
          <w:tcPr>
            <w:tcW w:w="2977" w:type="dxa"/>
            <w:gridSpan w:val="2"/>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adjustRightInd w:val="0"/>
              <w:snapToGrid w:val="0"/>
              <w:spacing w:line="240" w:lineRule="auto"/>
              <w:ind w:firstLine="0" w:firstLineChars="0"/>
              <w:jc w:val="center"/>
              <w:rPr>
                <w:rFonts w:hint="eastAsia"/>
                <w:sz w:val="21"/>
                <w:szCs w:val="21"/>
                <w:lang w:val="en-US" w:eastAsia="zh-CN"/>
              </w:rPr>
            </w:pPr>
            <w:r>
              <w:rPr>
                <w:rFonts w:hint="eastAsia"/>
                <w:sz w:val="21"/>
                <w:szCs w:val="21"/>
                <w:lang w:val="en-US" w:eastAsia="zh-CN"/>
              </w:rPr>
              <w:t>非甲烷</w:t>
            </w:r>
          </w:p>
          <w:p>
            <w:pPr>
              <w:adjustRightInd w:val="0"/>
              <w:snapToGrid w:val="0"/>
              <w:spacing w:line="240" w:lineRule="auto"/>
              <w:ind w:firstLine="0" w:firstLineChars="0"/>
              <w:jc w:val="center"/>
              <w:rPr>
                <w:rFonts w:hint="default" w:eastAsiaTheme="minorEastAsia"/>
                <w:sz w:val="21"/>
                <w:szCs w:val="21"/>
                <w:lang w:val="en-US" w:eastAsia="zh-CN"/>
              </w:rPr>
            </w:pPr>
            <w:r>
              <w:rPr>
                <w:rFonts w:hint="eastAsia"/>
                <w:sz w:val="21"/>
                <w:szCs w:val="21"/>
                <w:lang w:val="en-US" w:eastAsia="zh-CN"/>
              </w:rPr>
              <w:t>总烃</w:t>
            </w:r>
          </w:p>
        </w:tc>
        <w:tc>
          <w:tcPr>
            <w:tcW w:w="2977" w:type="dxa"/>
            <w:gridSpan w:val="2"/>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adjustRightInd w:val="0"/>
              <w:snapToGrid w:val="0"/>
              <w:spacing w:line="240" w:lineRule="auto"/>
              <w:ind w:firstLine="0" w:firstLineChars="0"/>
              <w:jc w:val="center"/>
              <w:rPr>
                <w:rFonts w:hint="default"/>
                <w:sz w:val="21"/>
                <w:szCs w:val="21"/>
                <w:lang w:val="en-US" w:eastAsia="zh-CN"/>
              </w:rPr>
            </w:pPr>
            <w:r>
              <w:rPr>
                <w:rFonts w:hint="eastAsia"/>
                <w:sz w:val="21"/>
                <w:szCs w:val="21"/>
                <w:lang w:val="en-US" w:eastAsia="zh-CN"/>
              </w:rPr>
              <w:t>苯</w:t>
            </w:r>
          </w:p>
        </w:tc>
        <w:tc>
          <w:tcPr>
            <w:tcW w:w="2977" w:type="dxa"/>
            <w:gridSpan w:val="2"/>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restart"/>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sz w:val="21"/>
                <w:szCs w:val="21"/>
              </w:rPr>
              <w:t>《工业涂装工序挥发性有机物排放标准》（DB41/1951-2020）表1标准（通用设备）</w:t>
            </w:r>
          </w:p>
        </w:tc>
        <w:tc>
          <w:tcPr>
            <w:tcW w:w="1232" w:type="dxa"/>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w:t>
            </w:r>
          </w:p>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总烃</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vertAlign w:val="baseli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有组织：50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无组织：1h平均6m</w:t>
            </w:r>
            <w:r>
              <w:rPr>
                <w:color w:val="000000" w:themeColor="text1"/>
                <w:sz w:val="21"/>
                <w:szCs w:val="21"/>
                <w14:textFill>
                  <w14:solidFill>
                    <w14:schemeClr w14:val="tx1"/>
                  </w14:solidFill>
                </w14:textFill>
              </w:rPr>
              <w:t>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p>
          <w:p>
            <w:pPr>
              <w:spacing w:line="240" w:lineRule="auto"/>
              <w:ind w:firstLine="0" w:firstLineChars="0"/>
              <w:jc w:val="center"/>
              <w:rPr>
                <w:rFonts w:hint="default"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任意一次20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甲苯二</w:t>
            </w:r>
          </w:p>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甲苯</w:t>
            </w:r>
          </w:p>
        </w:tc>
        <w:tc>
          <w:tcPr>
            <w:tcW w:w="2977" w:type="dxa"/>
            <w:gridSpan w:val="2"/>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w:t>
            </w:r>
          </w:p>
        </w:tc>
        <w:tc>
          <w:tcPr>
            <w:tcW w:w="2977" w:type="dxa"/>
            <w:gridSpan w:val="2"/>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有组织：1.0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tcBorders>
              <w:tl2br w:val="nil"/>
              <w:tr2bl w:val="nil"/>
            </w:tcBorders>
            <w:shd w:val="clear" w:color="auto" w:fill="auto"/>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sz w:val="21"/>
                <w:szCs w:val="21"/>
              </w:rPr>
              <w:t>《挥发性有机物无组织排放控制标准》（GB37822-2019）</w:t>
            </w:r>
          </w:p>
        </w:tc>
        <w:tc>
          <w:tcPr>
            <w:tcW w:w="1232" w:type="dxa"/>
            <w:tcBorders>
              <w:tl2br w:val="nil"/>
              <w:tr2bl w:val="nil"/>
            </w:tcBorders>
            <w:vAlign w:val="center"/>
          </w:tcPr>
          <w:p>
            <w:pPr>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w:t>
            </w:r>
          </w:p>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总烃</w:t>
            </w:r>
          </w:p>
        </w:tc>
        <w:tc>
          <w:tcPr>
            <w:tcW w:w="2977" w:type="dxa"/>
            <w:gridSpan w:val="2"/>
            <w:tcBorders>
              <w:tl2br w:val="nil"/>
              <w:tr2bl w:val="nil"/>
            </w:tcBorders>
            <w:vAlign w:val="center"/>
          </w:tcPr>
          <w:p>
            <w:pPr>
              <w:spacing w:line="240" w:lineRule="auto"/>
              <w:ind w:firstLine="0" w:firstLineChars="0"/>
              <w:jc w:val="center"/>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无组织：1h平均10m</w:t>
            </w:r>
            <w:r>
              <w:rPr>
                <w:color w:val="000000" w:themeColor="text1"/>
                <w:sz w:val="21"/>
                <w:szCs w:val="21"/>
                <w14:textFill>
                  <w14:solidFill>
                    <w14:schemeClr w14:val="tx1"/>
                  </w14:solidFill>
                </w14:textFill>
              </w:rPr>
              <w:t>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p>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任意一次30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tcBorders>
              <w:tl2br w:val="nil"/>
              <w:tr2bl w:val="nil"/>
            </w:tcBorders>
            <w:shd w:val="clear" w:color="auto" w:fill="auto"/>
            <w:vAlign w:val="center"/>
          </w:tcPr>
          <w:p>
            <w:pPr>
              <w:pStyle w:val="48"/>
              <w:spacing w:line="240" w:lineRule="auto"/>
              <w:ind w:firstLine="0" w:firstLineChars="0"/>
              <w:rPr>
                <w:rFonts w:eastAsiaTheme="minorEastAsia"/>
                <w:sz w:val="21"/>
                <w:szCs w:val="21"/>
              </w:rPr>
            </w:pPr>
            <w:r>
              <w:rPr>
                <w:rFonts w:eastAsiaTheme="minorEastAsia"/>
                <w:sz w:val="21"/>
                <w:szCs w:val="21"/>
              </w:rPr>
              <w:t>新乡市生态环境局《关于进一步规范工业企业颗粒物排放限值的</w:t>
            </w:r>
          </w:p>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eastAsiaTheme="minorEastAsia"/>
                <w:sz w:val="21"/>
                <w:szCs w:val="21"/>
              </w:rPr>
              <w:t>通知》</w:t>
            </w: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eastAsiaTheme="minorEastAsia"/>
                <w:sz w:val="21"/>
                <w:szCs w:val="21"/>
              </w:rPr>
              <w:t>颗粒物</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vertAlign w:val="baseli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有组织：10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p>
            <w:pPr>
              <w:spacing w:line="240" w:lineRule="auto"/>
              <w:ind w:firstLine="0" w:firstLineChars="0"/>
              <w:jc w:val="center"/>
              <w:rPr>
                <w:rFonts w:hint="eastAsia"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无组织：</w:t>
            </w:r>
            <w:r>
              <w:rPr>
                <w:rFonts w:hint="eastAsia"/>
                <w:color w:val="000000" w:themeColor="text1"/>
                <w:sz w:val="21"/>
                <w:szCs w:val="21"/>
                <w:lang w:val="en-US" w:eastAsia="zh-CN"/>
                <w14:textFill>
                  <w14:solidFill>
                    <w14:schemeClr w14:val="tx1"/>
                  </w14:solidFill>
                </w14:textFill>
              </w:rPr>
              <w:t>0.5</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restart"/>
            <w:tcBorders>
              <w:tl2br w:val="nil"/>
              <w:tr2bl w:val="nil"/>
            </w:tcBorders>
            <w:shd w:val="clear" w:color="auto" w:fill="auto"/>
            <w:vAlign w:val="center"/>
          </w:tcPr>
          <w:p>
            <w:pPr>
              <w:pStyle w:val="48"/>
              <w:spacing w:line="240" w:lineRule="auto"/>
              <w:ind w:firstLine="0" w:firstLineChars="0"/>
              <w:rPr>
                <w:rFonts w:hint="eastAsia" w:eastAsiaTheme="minorEastAsia"/>
                <w:sz w:val="21"/>
                <w:szCs w:val="21"/>
                <w:lang w:eastAsia="zh-CN"/>
              </w:rPr>
            </w:pPr>
            <w:r>
              <w:rPr>
                <w:rFonts w:hint="default" w:ascii="Times New Roman" w:hAnsi="Times New Roman" w:cs="Times New Roman" w:eastAsiaTheme="minorEastAsia"/>
                <w:sz w:val="21"/>
                <w:szCs w:val="21"/>
                <w:lang w:eastAsia="zh-CN"/>
              </w:rPr>
              <w:t>《大气污染物综合排放标准》（GB16297-1996）</w:t>
            </w:r>
          </w:p>
        </w:tc>
        <w:tc>
          <w:tcPr>
            <w:tcW w:w="1232" w:type="dxa"/>
            <w:tcBorders>
              <w:tl2br w:val="nil"/>
              <w:tr2bl w:val="nil"/>
            </w:tcBorders>
            <w:vAlign w:val="center"/>
          </w:tcPr>
          <w:p>
            <w:pPr>
              <w:spacing w:line="240" w:lineRule="auto"/>
              <w:ind w:firstLine="0" w:firstLineChars="0"/>
              <w:jc w:val="center"/>
              <w:rPr>
                <w:rFonts w:hint="eastAsia" w:eastAsiaTheme="minorEastAsia"/>
                <w:sz w:val="21"/>
                <w:szCs w:val="21"/>
                <w:lang w:val="en-US" w:eastAsia="zh-CN"/>
              </w:rPr>
            </w:pPr>
            <w:r>
              <w:rPr>
                <w:rFonts w:hint="eastAsia"/>
                <w:sz w:val="21"/>
                <w:szCs w:val="21"/>
                <w:lang w:val="en-US" w:eastAsia="zh-CN"/>
              </w:rPr>
              <w:t>颗粒物</w:t>
            </w:r>
          </w:p>
        </w:tc>
        <w:tc>
          <w:tcPr>
            <w:tcW w:w="2977" w:type="dxa"/>
            <w:gridSpan w:val="2"/>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有组织：120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3.5kg/h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shd w:val="clear" w:color="auto" w:fill="auto"/>
            <w:vAlign w:val="center"/>
          </w:tcPr>
          <w:p>
            <w:pPr>
              <w:pStyle w:val="48"/>
              <w:spacing w:line="240" w:lineRule="auto"/>
              <w:ind w:firstLine="0" w:firstLineChars="0"/>
              <w:rPr>
                <w:rFonts w:hint="eastAsia" w:eastAsiaTheme="minorEastAsia"/>
                <w:sz w:val="21"/>
                <w:szCs w:val="21"/>
                <w:lang w:eastAsia="zh-CN"/>
              </w:rPr>
            </w:pPr>
          </w:p>
        </w:tc>
        <w:tc>
          <w:tcPr>
            <w:tcW w:w="1232"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非甲烷</w:t>
            </w:r>
          </w:p>
          <w:p>
            <w:pPr>
              <w:spacing w:line="240" w:lineRule="auto"/>
              <w:ind w:firstLine="0" w:firstLineChars="0"/>
              <w:jc w:val="center"/>
              <w:rPr>
                <w:rFonts w:hint="default"/>
                <w:sz w:val="21"/>
                <w:szCs w:val="21"/>
                <w:lang w:val="en-US" w:eastAsia="zh-CN"/>
              </w:rPr>
            </w:pPr>
            <w:r>
              <w:rPr>
                <w:rFonts w:hint="eastAsia"/>
                <w:sz w:val="21"/>
                <w:szCs w:val="21"/>
                <w:lang w:val="en-US" w:eastAsia="zh-CN"/>
              </w:rPr>
              <w:t>总烃</w:t>
            </w:r>
          </w:p>
        </w:tc>
        <w:tc>
          <w:tcPr>
            <w:tcW w:w="2977" w:type="dxa"/>
            <w:gridSpan w:val="2"/>
            <w:tcBorders>
              <w:tl2br w:val="nil"/>
              <w:tr2bl w:val="nil"/>
            </w:tcBorders>
            <w:vAlign w:val="center"/>
          </w:tcPr>
          <w:p>
            <w:pPr>
              <w:spacing w:line="240" w:lineRule="auto"/>
              <w:ind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有组织：10kg/h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restart"/>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废水</w:t>
            </w:r>
          </w:p>
        </w:tc>
        <w:tc>
          <w:tcPr>
            <w:tcW w:w="3271" w:type="dxa"/>
            <w:vMerge w:val="restart"/>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lang w:val="pt-BR"/>
                <w14:textFill>
                  <w14:solidFill>
                    <w14:schemeClr w14:val="tx1"/>
                  </w14:solidFill>
                </w14:textFill>
              </w:rPr>
            </w:pPr>
            <w:r>
              <w:rPr>
                <w:rFonts w:hint="eastAsia" w:ascii="Times New Roman" w:hAnsi="Times New Roman"/>
                <w:color w:val="000000" w:themeColor="text1"/>
                <w:kern w:val="2"/>
                <w:sz w:val="21"/>
                <w:szCs w:val="21"/>
                <w:lang w:eastAsia="zh-CN"/>
                <w14:textFill>
                  <w14:solidFill>
                    <w14:schemeClr w14:val="tx1"/>
                  </w14:solidFill>
                </w14:textFill>
              </w:rPr>
              <w:t>长垣市</w:t>
            </w:r>
            <w:r>
              <w:rPr>
                <w:rFonts w:hint="eastAsia" w:ascii="Times New Roman" w:hAnsi="Times New Roman"/>
                <w:color w:val="000000" w:themeColor="text1"/>
                <w:kern w:val="2"/>
                <w:sz w:val="21"/>
                <w:szCs w:val="21"/>
                <w:lang w:val="en-US" w:eastAsia="zh-CN"/>
                <w14:textFill>
                  <w14:solidFill>
                    <w14:schemeClr w14:val="tx1"/>
                  </w14:solidFill>
                </w14:textFill>
              </w:rPr>
              <w:t>第二</w:t>
            </w:r>
            <w:r>
              <w:rPr>
                <w:rFonts w:hint="eastAsia" w:ascii="Times New Roman" w:hAnsi="Times New Roman"/>
                <w:color w:val="000000" w:themeColor="text1"/>
                <w:kern w:val="2"/>
                <w:sz w:val="21"/>
                <w:szCs w:val="21"/>
                <w:lang w:eastAsia="zh-CN"/>
                <w14:textFill>
                  <w14:solidFill>
                    <w14:schemeClr w14:val="tx1"/>
                  </w14:solidFill>
                </w14:textFill>
              </w:rPr>
              <w:t>污水处理厂</w:t>
            </w:r>
            <w:r>
              <w:rPr>
                <w:rFonts w:hint="eastAsia" w:ascii="Times New Roman" w:hAnsi="Times New Roman" w:eastAsiaTheme="minorEastAsia"/>
                <w:color w:val="000000" w:themeColor="text1"/>
                <w:kern w:val="2"/>
                <w:sz w:val="21"/>
                <w:szCs w:val="21"/>
                <w14:textFill>
                  <w14:solidFill>
                    <w14:schemeClr w14:val="tx1"/>
                  </w14:solidFill>
                </w14:textFill>
              </w:rPr>
              <w:t>收水标准</w:t>
            </w: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BOD</w:t>
            </w:r>
            <w:r>
              <w:rPr>
                <w:color w:val="000000" w:themeColor="text1"/>
                <w:sz w:val="21"/>
                <w:szCs w:val="21"/>
                <w:vertAlign w:val="subscript"/>
                <w14:textFill>
                  <w14:solidFill>
                    <w14:schemeClr w14:val="tx1"/>
                  </w14:solidFill>
                </w14:textFill>
              </w:rPr>
              <w:t>5</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145</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r>
              <w:rPr>
                <w:color w:val="000000" w:themeColor="text1"/>
                <w:sz w:val="21"/>
                <w:szCs w:val="21"/>
                <w:vertAlign w:val="subscript"/>
                <w14:textFill>
                  <w14:solidFill>
                    <w14:schemeClr w14:val="tx1"/>
                  </w14:solidFill>
                </w14:textFill>
              </w:rPr>
              <w:t>Cr</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NH</w:t>
            </w:r>
            <w:r>
              <w:rPr>
                <w:color w:val="000000" w:themeColor="text1"/>
                <w:sz w:val="21"/>
                <w:szCs w:val="21"/>
                <w:vertAlign w:val="subscript"/>
                <w:lang w:val="pt-BR"/>
                <w14:textFill>
                  <w14:solidFill>
                    <w14:schemeClr w14:val="tx1"/>
                  </w14:solidFill>
                </w14:textFill>
              </w:rPr>
              <w:t>3</w:t>
            </w:r>
            <w:r>
              <w:rPr>
                <w:color w:val="000000" w:themeColor="text1"/>
                <w:sz w:val="21"/>
                <w:szCs w:val="21"/>
                <w:lang w:val="pt-BR"/>
                <w14:textFill>
                  <w14:solidFill>
                    <w14:schemeClr w14:val="tx1"/>
                  </w14:solidFill>
                </w14:textFill>
              </w:rPr>
              <w:t>-N</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8"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TN</w:t>
            </w:r>
          </w:p>
        </w:tc>
        <w:tc>
          <w:tcPr>
            <w:tcW w:w="2977" w:type="dxa"/>
            <w:gridSpan w:val="2"/>
            <w:tcBorders>
              <w:tl2br w:val="nil"/>
              <w:tr2bl w:val="nil"/>
            </w:tcBorders>
            <w:vAlign w:val="center"/>
          </w:tcPr>
          <w:p>
            <w:pPr>
              <w:spacing w:line="240" w:lineRule="auto"/>
              <w:ind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TP</w:t>
            </w:r>
          </w:p>
        </w:tc>
        <w:tc>
          <w:tcPr>
            <w:tcW w:w="2977" w:type="dxa"/>
            <w:gridSpan w:val="2"/>
            <w:tcBorders>
              <w:tl2br w:val="nil"/>
              <w:tr2bl w:val="nil"/>
            </w:tcBorders>
            <w:vAlign w:val="center"/>
          </w:tcPr>
          <w:p>
            <w:pPr>
              <w:spacing w:line="240" w:lineRule="auto"/>
              <w:ind w:firstLine="0" w:firstLineChars="0"/>
              <w:jc w:val="center"/>
              <w:rPr>
                <w:rFonts w:hint="eastAsia"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restart"/>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r>
              <w:rPr>
                <w:rFonts w:hint="eastAsia" w:ascii="Times New Roman" w:hAnsi="Times New Roman" w:eastAsiaTheme="minorEastAsia"/>
                <w:color w:val="000000" w:themeColor="text1"/>
                <w:kern w:val="2"/>
                <w:sz w:val="21"/>
                <w:szCs w:val="21"/>
                <w14:textFill>
                  <w14:solidFill>
                    <w14:schemeClr w14:val="tx1"/>
                  </w14:solidFill>
                </w14:textFill>
              </w:rPr>
              <w:t>《污水综合排放标准》（GB8978-1996）</w:t>
            </w:r>
            <w:r>
              <w:rPr>
                <w:rFonts w:hint="eastAsia" w:ascii="Times New Roman" w:hAnsi="Times New Roman"/>
                <w:color w:val="000000" w:themeColor="text1"/>
                <w:kern w:val="2"/>
                <w:sz w:val="21"/>
                <w:szCs w:val="21"/>
                <w:lang w:val="en-US" w:eastAsia="zh-CN"/>
                <w14:textFill>
                  <w14:solidFill>
                    <w14:schemeClr w14:val="tx1"/>
                  </w14:solidFill>
                </w14:textFill>
              </w:rPr>
              <w:t>三</w:t>
            </w:r>
            <w:r>
              <w:rPr>
                <w:rFonts w:hint="eastAsia" w:ascii="Times New Roman" w:hAnsi="Times New Roman" w:eastAsiaTheme="minorEastAsia"/>
                <w:color w:val="000000" w:themeColor="text1"/>
                <w:kern w:val="2"/>
                <w:sz w:val="21"/>
                <w:szCs w:val="21"/>
                <w14:textFill>
                  <w14:solidFill>
                    <w14:schemeClr w14:val="tx1"/>
                  </w14:solidFill>
                </w14:textFill>
              </w:rPr>
              <w:t>级</w:t>
            </w: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BOD</w:t>
            </w:r>
            <w:r>
              <w:rPr>
                <w:rFonts w:hint="eastAsia"/>
                <w:color w:val="000000" w:themeColor="text1"/>
                <w:sz w:val="21"/>
                <w:szCs w:val="21"/>
                <w:vertAlign w:val="subscript"/>
                <w:lang w:val="pt-BR"/>
                <w14:textFill>
                  <w14:solidFill>
                    <w14:schemeClr w14:val="tx1"/>
                  </w14:solidFill>
                </w14:textFill>
              </w:rPr>
              <w:t>5</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COD</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SS</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r>
              <w:rPr>
                <w:color w:val="000000" w:themeColor="text1"/>
                <w:sz w:val="21"/>
                <w:szCs w:val="21"/>
                <w14:textFill>
                  <w14:solidFill>
                    <w14:schemeClr w14:val="tx1"/>
                  </w14:solidFill>
                </w14:textFill>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pH</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14:textFill>
                  <w14:solidFill>
                    <w14:schemeClr w14:val="tx1"/>
                  </w14:solidFill>
                </w14:textFill>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p>
        </w:tc>
        <w:tc>
          <w:tcPr>
            <w:tcW w:w="3271" w:type="dxa"/>
            <w:vMerge w:val="continue"/>
            <w:tcBorders>
              <w:tl2br w:val="nil"/>
              <w:tr2bl w:val="nil"/>
            </w:tcBorders>
            <w:vAlign w:val="center"/>
          </w:tcPr>
          <w:p>
            <w:pPr>
              <w:pStyle w:val="48"/>
              <w:spacing w:line="240" w:lineRule="auto"/>
              <w:ind w:firstLine="0" w:firstLineChars="0"/>
              <w:rPr>
                <w:rFonts w:ascii="Times New Roman" w:hAnsi="Times New Roman" w:eastAsiaTheme="minorEastAsia"/>
                <w:color w:val="000000" w:themeColor="text1"/>
                <w:kern w:val="2"/>
                <w:sz w:val="21"/>
                <w:szCs w:val="21"/>
                <w14:textFill>
                  <w14:solidFill>
                    <w14:schemeClr w14:val="tx1"/>
                  </w14:solidFill>
                </w14:textFill>
              </w:rPr>
            </w:pPr>
          </w:p>
        </w:tc>
        <w:tc>
          <w:tcPr>
            <w:tcW w:w="1232" w:type="dxa"/>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color w:val="000000" w:themeColor="text1"/>
                <w:sz w:val="21"/>
                <w:szCs w:val="21"/>
                <w:lang w:val="pt-BR"/>
                <w14:textFill>
                  <w14:solidFill>
                    <w14:schemeClr w14:val="tx1"/>
                  </w14:solidFill>
                </w14:textFill>
              </w:rPr>
              <w:t>NH</w:t>
            </w:r>
            <w:r>
              <w:rPr>
                <w:color w:val="000000" w:themeColor="text1"/>
                <w:sz w:val="21"/>
                <w:szCs w:val="21"/>
                <w:vertAlign w:val="subscript"/>
                <w:lang w:val="pt-BR"/>
                <w14:textFill>
                  <w14:solidFill>
                    <w14:schemeClr w14:val="tx1"/>
                  </w14:solidFill>
                </w14:textFill>
              </w:rPr>
              <w:t>3</w:t>
            </w:r>
            <w:r>
              <w:rPr>
                <w:color w:val="000000" w:themeColor="text1"/>
                <w:sz w:val="21"/>
                <w:szCs w:val="21"/>
                <w:lang w:val="pt-BR"/>
                <w14:textFill>
                  <w14:solidFill>
                    <w14:schemeClr w14:val="tx1"/>
                  </w14:solidFill>
                </w14:textFill>
              </w:rPr>
              <w:t>-N</w:t>
            </w:r>
          </w:p>
        </w:tc>
        <w:tc>
          <w:tcPr>
            <w:tcW w:w="2977" w:type="dxa"/>
            <w:gridSpan w:val="2"/>
            <w:tcBorders>
              <w:tl2br w:val="nil"/>
              <w:tr2bl w:val="nil"/>
            </w:tcBorders>
            <w:vAlign w:val="center"/>
          </w:tcPr>
          <w:p>
            <w:pPr>
              <w:spacing w:line="240" w:lineRule="auto"/>
              <w:ind w:firstLine="0" w:firstLineChars="0"/>
              <w:jc w:val="center"/>
              <w:rPr>
                <w:color w:val="000000" w:themeColor="text1"/>
                <w:sz w:val="21"/>
                <w:szCs w:val="21"/>
                <w:lang w:val="pt-BR"/>
                <w14:textFill>
                  <w14:solidFill>
                    <w14:schemeClr w14:val="tx1"/>
                  </w14:solidFill>
                </w14:textFill>
              </w:rPr>
            </w:pPr>
            <w:r>
              <w:rPr>
                <w:rFonts w:hint="eastAsia"/>
                <w:color w:val="000000" w:themeColor="text1"/>
                <w:sz w:val="21"/>
                <w:szCs w:val="21"/>
                <w:lang w:val="pt-BR"/>
                <w14:textFill>
                  <w14:solidFill>
                    <w14:schemeClr w14:val="tx1"/>
                  </w14:solidFill>
                </w14:textFill>
              </w:rPr>
              <w:t>25</w:t>
            </w:r>
            <w:r>
              <w:rPr>
                <w:color w:val="000000" w:themeColor="text1"/>
                <w:sz w:val="21"/>
                <w:szCs w:val="21"/>
                <w14:textFill>
                  <w14:solidFill>
                    <w14:schemeClr w14:val="tx1"/>
                  </w14:solidFill>
                </w14:textFill>
              </w:rPr>
              <w:t xml:space="preserve"> 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3271" w:type="dxa"/>
            <w:vMerge w:val="restart"/>
            <w:tcBorders>
              <w:tl2br w:val="nil"/>
              <w:tr2bl w:val="nil"/>
            </w:tcBorders>
            <w:vAlign w:val="center"/>
          </w:tcPr>
          <w:p>
            <w:pPr>
              <w:spacing w:line="240" w:lineRule="auto"/>
              <w:ind w:left="108"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类标准</w:t>
            </w:r>
          </w:p>
        </w:tc>
        <w:tc>
          <w:tcPr>
            <w:tcW w:w="1232"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66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w:t>
            </w:r>
          </w:p>
        </w:tc>
        <w:tc>
          <w:tcPr>
            <w:tcW w:w="131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r>
              <w:rPr>
                <w:color w:val="000000" w:themeColor="text1"/>
                <w:sz w:val="21"/>
                <w:szCs w:val="21"/>
                <w14:textFill>
                  <w14:solidFill>
                    <w14:schemeClr w14:val="tx1"/>
                  </w14:solidFill>
                </w14:textFill>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vMerge w:val="continue"/>
            <w:tcBorders>
              <w:tl2br w:val="nil"/>
              <w:tr2bl w:val="nil"/>
            </w:tcBorders>
          </w:tcPr>
          <w:p>
            <w:pPr>
              <w:spacing w:line="240" w:lineRule="auto"/>
              <w:ind w:left="108" w:firstLine="0" w:firstLineChars="0"/>
              <w:jc w:val="center"/>
              <w:rPr>
                <w:color w:val="000000" w:themeColor="text1"/>
                <w:sz w:val="21"/>
                <w:szCs w:val="21"/>
                <w14:textFill>
                  <w14:solidFill>
                    <w14:schemeClr w14:val="tx1"/>
                  </w14:solidFill>
                </w14:textFill>
              </w:rPr>
            </w:pPr>
          </w:p>
        </w:tc>
        <w:tc>
          <w:tcPr>
            <w:tcW w:w="3271" w:type="dxa"/>
            <w:vMerge w:val="continue"/>
            <w:tcBorders>
              <w:tl2br w:val="nil"/>
              <w:tr2bl w:val="nil"/>
            </w:tcBorders>
          </w:tcPr>
          <w:p>
            <w:pPr>
              <w:spacing w:line="240" w:lineRule="auto"/>
              <w:ind w:left="108" w:firstLine="0" w:firstLineChars="0"/>
              <w:rPr>
                <w:color w:val="000000" w:themeColor="text1"/>
                <w:sz w:val="21"/>
                <w:szCs w:val="21"/>
                <w14:textFill>
                  <w14:solidFill>
                    <w14:schemeClr w14:val="tx1"/>
                  </w14:solidFill>
                </w14:textFill>
              </w:rPr>
            </w:pPr>
          </w:p>
        </w:tc>
        <w:tc>
          <w:tcPr>
            <w:tcW w:w="1232" w:type="dxa"/>
            <w:vMerge w:val="continue"/>
            <w:tcBorders>
              <w:tl2br w:val="nil"/>
              <w:tr2bl w:val="nil"/>
            </w:tcBorders>
          </w:tcPr>
          <w:p>
            <w:pPr>
              <w:spacing w:line="240" w:lineRule="auto"/>
              <w:ind w:left="108" w:firstLine="0" w:firstLineChars="0"/>
              <w:rPr>
                <w:color w:val="000000" w:themeColor="text1"/>
                <w:sz w:val="21"/>
                <w:szCs w:val="21"/>
                <w14:textFill>
                  <w14:solidFill>
                    <w14:schemeClr w14:val="tx1"/>
                  </w14:solidFill>
                </w14:textFill>
              </w:rPr>
            </w:pPr>
          </w:p>
        </w:tc>
        <w:tc>
          <w:tcPr>
            <w:tcW w:w="166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夜</w:t>
            </w:r>
          </w:p>
        </w:tc>
        <w:tc>
          <w:tcPr>
            <w:tcW w:w="131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r>
              <w:rPr>
                <w:color w:val="000000" w:themeColor="text1"/>
                <w:sz w:val="21"/>
                <w:szCs w:val="21"/>
                <w14:textFill>
                  <w14:solidFill>
                    <w14:schemeClr w14:val="tx1"/>
                  </w14:solidFill>
                </w14:textFill>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42" w:type="dxa"/>
            <w:tcBorders>
              <w:tl2br w:val="nil"/>
              <w:tr2bl w:val="nil"/>
            </w:tcBorders>
            <w:vAlign w:val="center"/>
          </w:tcPr>
          <w:p>
            <w:pPr>
              <w:spacing w:line="240" w:lineRule="auto"/>
              <w:ind w:left="108"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7480" w:type="dxa"/>
            <w:gridSpan w:val="4"/>
            <w:tcBorders>
              <w:tl2br w:val="nil"/>
              <w:tr2bl w:val="nil"/>
            </w:tcBorders>
            <w:vAlign w:val="center"/>
          </w:tcPr>
          <w:p>
            <w:pPr>
              <w:spacing w:line="240" w:lineRule="auto"/>
              <w:ind w:firstLine="0" w:firstLineChars="0"/>
              <w:rPr>
                <w:rFonts w:hint="eastAsia" w:ascii="Times New Roman" w:hAnsi="Times New Roman"/>
                <w:color w:val="000000"/>
                <w:sz w:val="21"/>
                <w:szCs w:val="21"/>
                <w:lang w:eastAsia="zh-CN"/>
              </w:rPr>
            </w:pP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一般工业固体废物贮存和填埋污染控制标准</w:t>
            </w:r>
            <w:r>
              <w:rPr>
                <w:rFonts w:hint="default"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w:t>
            </w:r>
            <w:r>
              <w:rPr>
                <w:rFonts w:hint="default" w:ascii="Times New Roman" w:hAnsi="Times New Roman"/>
                <w:color w:val="000000"/>
                <w:sz w:val="21"/>
                <w:szCs w:val="21"/>
                <w:lang w:val="en-US" w:eastAsia="zh-CN"/>
              </w:rPr>
              <w:t>GB18599-20</w:t>
            </w:r>
            <w:r>
              <w:rPr>
                <w:rFonts w:hint="eastAsia" w:ascii="Times New Roman" w:hAnsi="Times New Roman"/>
                <w:color w:val="000000"/>
                <w:sz w:val="21"/>
                <w:szCs w:val="21"/>
                <w:lang w:val="en-US" w:eastAsia="zh-CN"/>
              </w:rPr>
              <w:t>20）</w:t>
            </w:r>
            <w:r>
              <w:rPr>
                <w:rFonts w:hint="eastAsia" w:ascii="Times New Roman" w:hAnsi="Times New Roman"/>
                <w:color w:val="000000"/>
                <w:sz w:val="21"/>
                <w:szCs w:val="21"/>
                <w:lang w:eastAsia="zh-CN"/>
              </w:rPr>
              <w:t>、</w:t>
            </w:r>
          </w:p>
          <w:p>
            <w:pPr>
              <w:spacing w:line="240" w:lineRule="auto"/>
              <w:ind w:firstLine="0" w:firstLineChars="0"/>
              <w:rPr>
                <w:color w:val="000000" w:themeColor="text1"/>
                <w:sz w:val="21"/>
                <w:szCs w:val="21"/>
                <w14:textFill>
                  <w14:solidFill>
                    <w14:schemeClr w14:val="tx1"/>
                  </w14:solidFill>
                </w14:textFill>
              </w:rPr>
            </w:pPr>
            <w:r>
              <w:rPr>
                <w:color w:val="000000"/>
                <w:sz w:val="21"/>
                <w:szCs w:val="21"/>
              </w:rPr>
              <w:t>《危险废物贮存污染控制标准》（GB18597-2001）及其2013修改单。</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Lines="0" w:afterLines="0" w:line="520" w:lineRule="exact"/>
        <w:textAlignment w:val="auto"/>
      </w:pPr>
      <w:bookmarkStart w:id="333" w:name="_Toc31845"/>
      <w:r>
        <w:t>验收监测内容</w:t>
      </w:r>
      <w:bookmarkEnd w:id="322"/>
      <w:bookmarkEnd w:id="323"/>
      <w:bookmarkEnd w:id="324"/>
      <w:bookmarkEnd w:id="325"/>
      <w:bookmarkEnd w:id="326"/>
      <w:bookmarkEnd w:id="327"/>
      <w:bookmarkEnd w:id="328"/>
      <w:bookmarkEnd w:id="329"/>
      <w:bookmarkEnd w:id="330"/>
      <w:bookmarkEnd w:id="331"/>
      <w:bookmarkEnd w:id="332"/>
      <w:bookmarkEnd w:id="333"/>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334" w:name="_Toc20093"/>
      <w:bookmarkStart w:id="335" w:name="_Toc2542"/>
      <w:bookmarkStart w:id="336" w:name="_Toc29435"/>
      <w:bookmarkStart w:id="337" w:name="_Toc19709"/>
      <w:bookmarkStart w:id="338" w:name="_Toc19769"/>
      <w:bookmarkStart w:id="339" w:name="_Toc8228"/>
      <w:bookmarkStart w:id="340" w:name="_Toc6897"/>
      <w:bookmarkStart w:id="341" w:name="_Toc23249"/>
      <w:bookmarkStart w:id="342" w:name="_Toc5304"/>
      <w:bookmarkStart w:id="343" w:name="_Toc21220"/>
      <w:bookmarkStart w:id="344" w:name="_Toc15617"/>
      <w:bookmarkStart w:id="345" w:name="_Toc20158"/>
      <w:r>
        <w:t>7.1 环境保护设施调试结果</w:t>
      </w:r>
      <w:bookmarkEnd w:id="334"/>
      <w:bookmarkEnd w:id="335"/>
      <w:bookmarkEnd w:id="336"/>
      <w:bookmarkEnd w:id="337"/>
      <w:bookmarkEnd w:id="338"/>
      <w:bookmarkEnd w:id="339"/>
      <w:bookmarkEnd w:id="340"/>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本次验收监测通过对各类污染物达标排放及各类污染治理设施去除效率的监测，验证环保设施调试效果，具体监测内容如下。</w:t>
      </w:r>
    </w:p>
    <w:p>
      <w:pPr>
        <w:pStyle w:val="4"/>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346" w:name="_Toc30208"/>
      <w:bookmarkStart w:id="347" w:name="_Toc25528"/>
      <w:bookmarkStart w:id="348" w:name="_Toc15439"/>
      <w:bookmarkStart w:id="349" w:name="_Toc6933"/>
      <w:bookmarkStart w:id="350" w:name="_Toc20489"/>
      <w:bookmarkStart w:id="351" w:name="_Toc16352"/>
      <w:bookmarkStart w:id="352" w:name="_Toc21339"/>
      <w:bookmarkStart w:id="353" w:name="_Toc22233"/>
      <w:bookmarkStart w:id="354" w:name="_Toc18263"/>
      <w:bookmarkStart w:id="355" w:name="_Toc28527"/>
      <w:bookmarkStart w:id="356" w:name="_Toc6352"/>
      <w:bookmarkStart w:id="357" w:name="_Toc23766"/>
      <w:r>
        <w:rPr>
          <w:rFonts w:cs="Times New Roman"/>
          <w:szCs w:val="28"/>
        </w:rPr>
        <w:t>7.1.1 废水</w:t>
      </w:r>
      <w:bookmarkEnd w:id="346"/>
      <w:bookmarkEnd w:id="347"/>
      <w:bookmarkEnd w:id="348"/>
      <w:bookmarkEnd w:id="349"/>
      <w:bookmarkEnd w:id="350"/>
      <w:bookmarkEnd w:id="351"/>
      <w:bookmarkEnd w:id="352"/>
      <w:bookmarkEnd w:id="353"/>
      <w:bookmarkEnd w:id="354"/>
      <w:bookmarkEnd w:id="355"/>
      <w:bookmarkEnd w:id="356"/>
      <w:bookmarkEnd w:id="357"/>
    </w:p>
    <w:p>
      <w:pPr>
        <w:pStyle w:val="8"/>
        <w:pageBreakBefore w:val="0"/>
        <w:widowControl w:val="0"/>
        <w:kinsoku/>
        <w:wordWrap/>
        <w:overflowPunct/>
        <w:topLinePunct w:val="0"/>
        <w:autoSpaceDE/>
        <w:autoSpaceDN/>
        <w:bidi w:val="0"/>
        <w:adjustRightInd/>
        <w:snapToGrid/>
        <w:spacing w:line="520" w:lineRule="exact"/>
        <w:ind w:firstLine="480"/>
        <w:textAlignment w:val="auto"/>
        <w:rPr>
          <w:rFonts w:hint="eastAsia" w:cs="Times New Roman"/>
        </w:rPr>
      </w:pPr>
      <w:bookmarkStart w:id="358" w:name="_Toc16281"/>
      <w:bookmarkStart w:id="359" w:name="_Toc6334"/>
      <w:bookmarkStart w:id="360" w:name="_Toc5398"/>
      <w:r>
        <w:rPr>
          <w:rFonts w:hint="eastAsia" w:cs="Times New Roman"/>
        </w:rPr>
        <w:t>本项目废</w:t>
      </w:r>
      <w:r>
        <w:rPr>
          <w:rFonts w:hint="eastAsia" w:cs="Times New Roman"/>
          <w:lang w:val="en-US" w:eastAsia="zh-CN"/>
        </w:rPr>
        <w:t>水</w:t>
      </w:r>
      <w:r>
        <w:rPr>
          <w:rFonts w:hint="eastAsia" w:cs="Times New Roman"/>
        </w:rPr>
        <w:t>监测项目及频次见下表。</w:t>
      </w:r>
    </w:p>
    <w:p>
      <w:pPr>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r>
        <w:rPr>
          <w:rFonts w:hint="eastAsia" w:cs="Times New Roman"/>
          <w:b/>
          <w:bCs/>
          <w:sz w:val="24"/>
          <w:szCs w:val="24"/>
        </w:rPr>
        <w:t>表7-</w:t>
      </w:r>
      <w:r>
        <w:rPr>
          <w:rFonts w:hint="eastAsia" w:cs="Times New Roman"/>
          <w:b/>
          <w:bCs/>
          <w:sz w:val="24"/>
          <w:szCs w:val="24"/>
          <w:lang w:val="en-US" w:eastAsia="zh-CN"/>
        </w:rPr>
        <w:t>1</w:t>
      </w:r>
      <w:r>
        <w:rPr>
          <w:rFonts w:hint="eastAsia" w:cs="Times New Roman"/>
          <w:b/>
          <w:bCs/>
          <w:sz w:val="24"/>
          <w:szCs w:val="24"/>
        </w:rPr>
        <w:t xml:space="preserve">  废气监测项目及频次</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166"/>
        <w:gridCol w:w="1676"/>
        <w:gridCol w:w="1568"/>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9"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监测类别</w:t>
            </w:r>
          </w:p>
        </w:tc>
        <w:tc>
          <w:tcPr>
            <w:tcW w:w="1166"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1676"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568"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c>
          <w:tcPr>
            <w:tcW w:w="3033"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w:t>
            </w:r>
          </w:p>
        </w:tc>
        <w:tc>
          <w:tcPr>
            <w:tcW w:w="1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厂区污水总排口</w:t>
            </w:r>
          </w:p>
        </w:tc>
        <w:tc>
          <w:tcPr>
            <w:tcW w:w="16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rPr>
            </w:pPr>
            <w:r>
              <w:rPr>
                <w:rFonts w:hint="eastAsia" w:ascii="Times New Roman" w:hAnsi="Times New Roman" w:cs="Times New Roman"/>
                <w:color w:val="auto"/>
                <w:kern w:val="0"/>
                <w:sz w:val="21"/>
                <w:szCs w:val="21"/>
                <w:lang w:eastAsia="zh-CN"/>
              </w:rPr>
              <w:t>流量、</w:t>
            </w:r>
            <w:r>
              <w:rPr>
                <w:rFonts w:hint="eastAsia" w:ascii="Times New Roman" w:hAnsi="Times New Roman" w:cs="Times New Roman"/>
                <w:color w:val="auto"/>
                <w:kern w:val="0"/>
                <w:sz w:val="21"/>
                <w:szCs w:val="21"/>
                <w:lang w:val="en-US" w:eastAsia="zh-CN"/>
              </w:rPr>
              <w:t>pH、</w:t>
            </w:r>
            <w:r>
              <w:rPr>
                <w:rFonts w:hint="default" w:ascii="Times New Roman" w:hAnsi="Times New Roman" w:cs="Times New Roman"/>
                <w:color w:val="auto"/>
                <w:kern w:val="0"/>
                <w:sz w:val="21"/>
                <w:szCs w:val="21"/>
              </w:rPr>
              <w:t>COD、BOD</w:t>
            </w:r>
            <w:r>
              <w:rPr>
                <w:rFonts w:hint="default" w:ascii="Times New Roman" w:hAnsi="Times New Roman" w:cs="Times New Roman"/>
                <w:color w:val="auto"/>
                <w:kern w:val="0"/>
                <w:sz w:val="21"/>
                <w:szCs w:val="21"/>
                <w:vertAlign w:val="subscript"/>
              </w:rPr>
              <w:t>5</w:t>
            </w:r>
            <w:r>
              <w:rPr>
                <w:rFonts w:hint="default" w:ascii="Times New Roman" w:hAnsi="Times New Roman" w:cs="Times New Roman"/>
                <w:color w:val="auto"/>
                <w:kern w:val="0"/>
                <w:sz w:val="21"/>
                <w:szCs w:val="21"/>
              </w:rPr>
              <w:t>、SS、NH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r>
              <w:rPr>
                <w:rFonts w:hint="eastAsia" w:ascii="Times New Roman" w:hAnsi="Times New Roman" w:cs="Times New Roman"/>
                <w:color w:val="auto"/>
                <w:kern w:val="0"/>
                <w:sz w:val="21"/>
                <w:szCs w:val="21"/>
                <w:lang w:eastAsia="zh-CN"/>
              </w:rPr>
              <w:t>、</w:t>
            </w:r>
            <w:r>
              <w:rPr>
                <w:rFonts w:hint="eastAsia" w:cs="Times New Roman"/>
                <w:color w:val="auto"/>
                <w:kern w:val="0"/>
                <w:sz w:val="21"/>
                <w:szCs w:val="21"/>
                <w:lang w:val="en-US" w:eastAsia="zh-CN"/>
              </w:rPr>
              <w:t>TP</w:t>
            </w:r>
            <w:r>
              <w:rPr>
                <w:rFonts w:hint="eastAsia" w:cs="Times New Roman"/>
                <w:color w:val="auto"/>
                <w:kern w:val="0"/>
                <w:sz w:val="21"/>
                <w:szCs w:val="21"/>
                <w:lang w:eastAsia="zh-CN"/>
              </w:rPr>
              <w:t>、</w:t>
            </w:r>
            <w:r>
              <w:rPr>
                <w:rFonts w:hint="eastAsia" w:cs="Times New Roman"/>
                <w:color w:val="auto"/>
                <w:kern w:val="0"/>
                <w:sz w:val="21"/>
                <w:szCs w:val="21"/>
                <w:lang w:val="en-US" w:eastAsia="zh-CN"/>
              </w:rPr>
              <w:t>TN</w:t>
            </w:r>
          </w:p>
        </w:tc>
        <w:tc>
          <w:tcPr>
            <w:tcW w:w="15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每天监测三次</w:t>
            </w:r>
          </w:p>
        </w:tc>
        <w:tc>
          <w:tcPr>
            <w:tcW w:w="30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sz w:val="21"/>
                <w:szCs w:val="21"/>
                <w:lang w:val="en-US" w:eastAsia="zh-CN"/>
              </w:rPr>
            </w:pPr>
            <w:r>
              <w:rPr>
                <w:rFonts w:hint="eastAsia"/>
                <w:bCs/>
                <w:color w:val="000000" w:themeColor="text1"/>
                <w:sz w:val="21"/>
                <w:szCs w:val="21"/>
                <w:lang w:eastAsia="zh-CN"/>
                <w14:textFill>
                  <w14:solidFill>
                    <w14:schemeClr w14:val="tx1"/>
                  </w14:solidFill>
                </w14:textFill>
              </w:rPr>
              <w:t>长垣市</w:t>
            </w:r>
            <w:r>
              <w:rPr>
                <w:rFonts w:hint="eastAsia"/>
                <w:bCs/>
                <w:color w:val="000000" w:themeColor="text1"/>
                <w:sz w:val="21"/>
                <w:szCs w:val="21"/>
                <w:lang w:val="en-US" w:eastAsia="zh-CN"/>
                <w14:textFill>
                  <w14:solidFill>
                    <w14:schemeClr w14:val="tx1"/>
                  </w14:solidFill>
                </w14:textFill>
              </w:rPr>
              <w:t>第二</w:t>
            </w:r>
            <w:r>
              <w:rPr>
                <w:rFonts w:hint="eastAsia"/>
                <w:bCs/>
                <w:color w:val="000000" w:themeColor="text1"/>
                <w:sz w:val="21"/>
                <w:szCs w:val="21"/>
                <w:lang w:eastAsia="zh-CN"/>
                <w14:textFill>
                  <w14:solidFill>
                    <w14:schemeClr w14:val="tx1"/>
                  </w14:solidFill>
                </w14:textFill>
              </w:rPr>
              <w:t>污水处理厂</w:t>
            </w:r>
            <w:r>
              <w:rPr>
                <w:rFonts w:hint="eastAsia"/>
                <w:bCs/>
                <w:color w:val="000000" w:themeColor="text1"/>
                <w:sz w:val="21"/>
                <w:szCs w:val="21"/>
                <w14:textFill>
                  <w14:solidFill>
                    <w14:schemeClr w14:val="tx1"/>
                  </w14:solidFill>
                </w14:textFill>
              </w:rPr>
              <w:t>收水标准；</w:t>
            </w:r>
            <w:r>
              <w:rPr>
                <w:color w:val="000000" w:themeColor="text1"/>
                <w:sz w:val="21"/>
                <w:szCs w:val="21"/>
                <w14:textFill>
                  <w14:solidFill>
                    <w14:schemeClr w14:val="tx1"/>
                  </w14:solidFill>
                </w14:textFill>
              </w:rPr>
              <w:t>《污水综合排放标准》（GB8978-1996）表4</w:t>
            </w:r>
            <w:r>
              <w:rPr>
                <w:rFonts w:hint="eastAsia"/>
                <w:color w:val="000000" w:themeColor="text1"/>
                <w:sz w:val="21"/>
                <w:szCs w:val="21"/>
                <w:lang w:val="en-US" w:eastAsia="zh-CN"/>
                <w14:textFill>
                  <w14:solidFill>
                    <w14:schemeClr w14:val="tx1"/>
                  </w14:solidFill>
                </w14:textFill>
              </w:rPr>
              <w:t>三</w:t>
            </w:r>
            <w:r>
              <w:rPr>
                <w:color w:val="000000" w:themeColor="text1"/>
                <w:sz w:val="21"/>
                <w:szCs w:val="21"/>
                <w14:textFill>
                  <w14:solidFill>
                    <w14:schemeClr w14:val="tx1"/>
                  </w14:solidFill>
                </w14:textFill>
              </w:rPr>
              <w:t>级标准</w:t>
            </w:r>
          </w:p>
        </w:tc>
      </w:tr>
    </w:tbl>
    <w:p>
      <w:pPr>
        <w:pStyle w:val="4"/>
        <w:pageBreakBefore w:val="0"/>
        <w:widowControl w:val="0"/>
        <w:kinsoku/>
        <w:wordWrap/>
        <w:overflowPunct/>
        <w:topLinePunct w:val="0"/>
        <w:autoSpaceDE/>
        <w:autoSpaceDN/>
        <w:bidi w:val="0"/>
        <w:adjustRightInd/>
        <w:snapToGrid/>
        <w:spacing w:line="520" w:lineRule="exact"/>
        <w:textAlignment w:val="auto"/>
        <w:rPr>
          <w:rFonts w:cs="Times New Roman"/>
          <w:szCs w:val="28"/>
        </w:rPr>
      </w:pPr>
      <w:bookmarkStart w:id="361" w:name="_Toc17371"/>
      <w:bookmarkStart w:id="362" w:name="_Toc11769"/>
      <w:bookmarkStart w:id="363" w:name="_Toc11021"/>
      <w:bookmarkStart w:id="364" w:name="_Toc31728"/>
      <w:bookmarkStart w:id="365" w:name="_Toc10745"/>
      <w:bookmarkStart w:id="366" w:name="_Toc28716"/>
      <w:bookmarkStart w:id="367" w:name="_Toc14025"/>
      <w:bookmarkStart w:id="368" w:name="_Toc22522"/>
      <w:r>
        <w:rPr>
          <w:rFonts w:cs="Times New Roman"/>
          <w:szCs w:val="28"/>
        </w:rPr>
        <w:t>7.1.2 废气</w:t>
      </w:r>
      <w:bookmarkEnd w:id="358"/>
      <w:bookmarkEnd w:id="359"/>
      <w:bookmarkEnd w:id="360"/>
      <w:bookmarkEnd w:id="361"/>
      <w:bookmarkEnd w:id="362"/>
      <w:bookmarkEnd w:id="363"/>
      <w:bookmarkEnd w:id="364"/>
      <w:bookmarkEnd w:id="365"/>
      <w:bookmarkEnd w:id="366"/>
      <w:bookmarkEnd w:id="367"/>
      <w:bookmarkEnd w:id="368"/>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hint="eastAsia" w:cs="Times New Roman"/>
        </w:rPr>
        <w:t>本项目废气监测项目及频次见下表。</w:t>
      </w:r>
    </w:p>
    <w:p>
      <w:pPr>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cs="Times New Roman"/>
          <w:b/>
          <w:bCs/>
          <w:sz w:val="24"/>
          <w:szCs w:val="24"/>
        </w:rPr>
      </w:pPr>
    </w:p>
    <w:p>
      <w:pPr>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cs="Times New Roman"/>
          <w:b/>
          <w:bCs/>
          <w:sz w:val="24"/>
          <w:szCs w:val="24"/>
        </w:rPr>
      </w:pPr>
      <w:r>
        <w:rPr>
          <w:rFonts w:hint="eastAsia" w:cs="Times New Roman"/>
          <w:b/>
          <w:bCs/>
          <w:sz w:val="24"/>
          <w:szCs w:val="24"/>
        </w:rPr>
        <w:t>表7-</w:t>
      </w:r>
      <w:r>
        <w:rPr>
          <w:rFonts w:hint="eastAsia" w:cs="Times New Roman"/>
          <w:b/>
          <w:bCs/>
          <w:sz w:val="24"/>
          <w:szCs w:val="24"/>
          <w:lang w:val="en-US" w:eastAsia="zh-CN"/>
        </w:rPr>
        <w:t>2</w:t>
      </w:r>
      <w:r>
        <w:rPr>
          <w:rFonts w:hint="eastAsia" w:cs="Times New Roman"/>
          <w:b/>
          <w:bCs/>
          <w:sz w:val="24"/>
          <w:szCs w:val="24"/>
        </w:rPr>
        <w:t xml:space="preserve">  废气监测项目及频次</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091"/>
        <w:gridCol w:w="1459"/>
        <w:gridCol w:w="953"/>
        <w:gridCol w:w="1338"/>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bookmarkStart w:id="369" w:name="_Toc31592"/>
            <w:bookmarkStart w:id="370" w:name="_Toc19859"/>
            <w:bookmarkStart w:id="371" w:name="_Toc15147"/>
            <w:bookmarkStart w:id="372" w:name="_Toc14184"/>
            <w:bookmarkStart w:id="373" w:name="_Toc29655"/>
            <w:bookmarkStart w:id="374" w:name="_Toc7027"/>
            <w:bookmarkStart w:id="375" w:name="_Toc9930"/>
            <w:bookmarkStart w:id="376" w:name="_Toc23185"/>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类别</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排放源</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监测点位</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因子</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监测频次</w:t>
            </w:r>
          </w:p>
        </w:tc>
        <w:tc>
          <w:tcPr>
            <w:tcW w:w="169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有组织废气</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端梁</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涂装房DA001</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二甲苯</w:t>
            </w:r>
          </w:p>
        </w:tc>
        <w:tc>
          <w:tcPr>
            <w:tcW w:w="78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两天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每天监测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3次</w:t>
            </w:r>
          </w:p>
        </w:tc>
        <w:tc>
          <w:tcPr>
            <w:tcW w:w="1694"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ind w:left="0" w:leftChars="0" w:firstLine="0" w:firstLineChars="0"/>
              <w:jc w:val="both"/>
              <w:textAlignment w:val="auto"/>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《关于全省开展工业企业挥发性有机物专项治理工作中排放建议值的通知》豫环攻坚办[2017]162 号）标准；同时满足《工业涂装工序挥发性有机物排放标准》（DB41/1951-2020）表1标准要求</w:t>
            </w:r>
            <w:r>
              <w:rPr>
                <w:rFonts w:hint="eastAsia" w:ascii="Times New Roman" w:hAnsi="Times New Roman" w:eastAsia="宋体" w:cs="Times New Roman"/>
                <w:color w:val="auto"/>
                <w:kern w:val="0"/>
                <w:sz w:val="21"/>
                <w:szCs w:val="21"/>
                <w:lang w:val="en-US" w:eastAsia="zh-CN"/>
              </w:rPr>
              <w:t>；新乡市生态环境局《关于进一步规范工业企业颗粒物排放限值的通知》要求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小件涂装房DA003</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双梁涂装房DA005</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单梁</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涂装房DA002</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非甲烷总烃</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二甲苯</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板材预处理涂装房DA004</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干式过滤棉+活性炭吸附-脱附+催化燃烧装置进、</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单梁车间焊接工序DA007</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ind w:left="0" w:leftChars="0" w:firstLine="0" w:firstLineChars="0"/>
              <w:jc w:val="both"/>
              <w:textAlignment w:val="auto"/>
              <w:rPr>
                <w:bCs/>
                <w:sz w:val="21"/>
                <w:szCs w:val="21"/>
              </w:rPr>
            </w:pPr>
            <w:r>
              <w:rPr>
                <w:rFonts w:hint="default" w:ascii="Times New Roman" w:hAnsi="Times New Roman" w:cs="Times New Roman"/>
                <w:bCs/>
                <w:sz w:val="21"/>
                <w:szCs w:val="21"/>
              </w:rPr>
              <w:t>《大气污染物综合排放标准》（GB16297-1996）表2标准；新乡市生态环境局《关于进一步规范工业企业颗粒物排放限值的通知》要求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双梁车间下料工序DA008</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双梁车间下料工序DA009</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双梁车间下料工序DA010</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双梁车间下料工序DA011</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双梁车间下料工序DA012</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双梁车间焊接工序DA013</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滤筒除尘器进、出口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食堂油烟DA014</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油烟净化装置进、出口</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油烟</w:t>
            </w: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bCs/>
                <w:sz w:val="21"/>
                <w:szCs w:val="21"/>
              </w:rPr>
            </w:pPr>
            <w:r>
              <w:rPr>
                <w:rFonts w:hint="default" w:ascii="Times New Roman" w:hAnsi="Times New Roman" w:cs="Times New Roman"/>
                <w:bCs/>
                <w:sz w:val="21"/>
                <w:szCs w:val="21"/>
              </w:rPr>
              <w:t>《餐饮业油烟污染物排放标准》（DB41/1604-2018）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食堂油烟DA015</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油烟净化装置进、出口</w:t>
            </w: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p>
        </w:tc>
        <w:tc>
          <w:tcPr>
            <w:tcW w:w="78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c>
          <w:tcPr>
            <w:tcW w:w="1694"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jc w:val="center"/>
              <w:textAlignment w:val="auto"/>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无组织废气</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上风向设置一个点位、下风向设置3个点位</w:t>
            </w:r>
          </w:p>
        </w:tc>
        <w:tc>
          <w:tcPr>
            <w:tcW w:w="55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颗粒物非甲烷总烃</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甲苯</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二甲苯</w:t>
            </w:r>
          </w:p>
        </w:tc>
        <w:tc>
          <w:tcPr>
            <w:tcW w:w="78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连续监测两天每天监测3次</w:t>
            </w:r>
          </w:p>
        </w:tc>
        <w:tc>
          <w:tcPr>
            <w:tcW w:w="169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ascii="Times New Roman" w:hAnsi="Times New Roman"/>
                <w:b w:val="0"/>
                <w:bCs w:val="0"/>
                <w:sz w:val="21"/>
                <w:szCs w:val="21"/>
                <w:u w:val="none"/>
              </w:rPr>
              <w:t>《</w:t>
            </w:r>
            <w:r>
              <w:rPr>
                <w:sz w:val="21"/>
                <w:szCs w:val="21"/>
              </w:rPr>
              <w:t>新乡市生态环境局</w:t>
            </w:r>
            <w:r>
              <w:rPr>
                <w:rFonts w:hint="eastAsia"/>
                <w:sz w:val="21"/>
                <w:szCs w:val="21"/>
              </w:rPr>
              <w:t>关于进一步规范工业企业颗粒物排放限值的通知</w:t>
            </w:r>
            <w:r>
              <w:rPr>
                <w:rFonts w:ascii="Times New Roman" w:hAnsi="Times New Roman"/>
                <w:b w:val="0"/>
                <w:bCs w:val="0"/>
                <w:sz w:val="21"/>
                <w:szCs w:val="21"/>
                <w:u w:val="none"/>
              </w:rPr>
              <w:t>》</w:t>
            </w:r>
            <w:r>
              <w:rPr>
                <w:rFonts w:hint="eastAsia" w:ascii="Times New Roman" w:hAnsi="Times New Roman"/>
                <w:b w:val="0"/>
                <w:bCs w:val="0"/>
                <w:sz w:val="21"/>
                <w:szCs w:val="21"/>
                <w:u w:val="none"/>
                <w:lang w:eastAsia="zh-CN"/>
              </w:rPr>
              <w:t>；</w:t>
            </w:r>
            <w:r>
              <w:rPr>
                <w:rFonts w:hint="default" w:ascii="Times New Roman" w:hAnsi="Times New Roman" w:cs="Times New Roman"/>
                <w:color w:val="auto"/>
                <w:sz w:val="21"/>
                <w:szCs w:val="21"/>
                <w:vertAlign w:val="baseline"/>
                <w:lang w:val="en-US" w:eastAsia="zh-CN"/>
              </w:rPr>
              <w:t>《关于全省开展工业企业挥发性有机物专项治理工作中排放建议值的通知》豫环攻坚办[2017]162 号）标准；《工业涂装工序挥发性有机物排放标准》（DB41/1951-2020）表1</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标准要求</w:t>
            </w:r>
          </w:p>
        </w:tc>
      </w:tr>
    </w:tbl>
    <w:p>
      <w:pPr>
        <w:pStyle w:val="4"/>
        <w:rPr>
          <w:rFonts w:cs="Times New Roman"/>
        </w:rPr>
      </w:pPr>
      <w:r>
        <w:rPr>
          <w:rFonts w:cs="Times New Roman"/>
          <w:szCs w:val="28"/>
        </w:rPr>
        <w:t>7.1.3 厂界噪声监测</w:t>
      </w:r>
      <w:bookmarkEnd w:id="369"/>
      <w:bookmarkEnd w:id="370"/>
      <w:bookmarkEnd w:id="371"/>
      <w:bookmarkEnd w:id="372"/>
      <w:bookmarkEnd w:id="373"/>
      <w:bookmarkEnd w:id="374"/>
      <w:bookmarkEnd w:id="375"/>
      <w:bookmarkEnd w:id="376"/>
    </w:p>
    <w:p>
      <w:pPr>
        <w:tabs>
          <w:tab w:val="left" w:pos="1454"/>
        </w:tabs>
        <w:ind w:firstLine="480"/>
        <w:rPr>
          <w:rFonts w:cs="Times New Roman"/>
        </w:rPr>
      </w:pPr>
      <w:r>
        <w:rPr>
          <w:rFonts w:cs="Times New Roman"/>
        </w:rPr>
        <w:t>项目噪声监测具体情况见表7-</w:t>
      </w:r>
      <w:r>
        <w:rPr>
          <w:rFonts w:hint="eastAsia" w:cs="Times New Roman"/>
          <w:lang w:val="en-US" w:eastAsia="zh-CN"/>
        </w:rPr>
        <w:t>3</w:t>
      </w:r>
      <w:r>
        <w:rPr>
          <w:rFonts w:cs="Times New Roman"/>
        </w:rPr>
        <w:t>。</w:t>
      </w:r>
    </w:p>
    <w:p>
      <w:pPr>
        <w:ind w:firstLine="422"/>
        <w:jc w:val="center"/>
        <w:rPr>
          <w:rFonts w:cs="Times New Roman"/>
          <w:sz w:val="24"/>
          <w:szCs w:val="24"/>
        </w:rPr>
      </w:pPr>
      <w:r>
        <w:rPr>
          <w:rFonts w:cs="Times New Roman"/>
          <w:b/>
          <w:bCs/>
          <w:sz w:val="24"/>
          <w:szCs w:val="24"/>
        </w:rPr>
        <w:t>表7-</w:t>
      </w:r>
      <w:r>
        <w:rPr>
          <w:rFonts w:hint="eastAsia" w:cs="Times New Roman"/>
          <w:b/>
          <w:bCs/>
          <w:sz w:val="24"/>
          <w:szCs w:val="24"/>
        </w:rPr>
        <w:t>3</w:t>
      </w:r>
      <w:r>
        <w:rPr>
          <w:rFonts w:cs="Times New Roman"/>
          <w:b/>
          <w:bCs/>
          <w:sz w:val="24"/>
          <w:szCs w:val="24"/>
        </w:rPr>
        <w:t xml:space="preserve">   噪声监测一览表</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80"/>
        <w:gridCol w:w="1086"/>
        <w:gridCol w:w="1914"/>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bookmarkStart w:id="377" w:name="_Toc19573"/>
            <w:bookmarkStart w:id="378" w:name="_Toc32157"/>
            <w:bookmarkStart w:id="379" w:name="_Toc1364"/>
            <w:bookmarkStart w:id="380" w:name="_Toc25599"/>
            <w:bookmarkStart w:id="381" w:name="_Toc22687"/>
            <w:bookmarkStart w:id="382" w:name="_Toc15116"/>
            <w:bookmarkStart w:id="383" w:name="_Toc31339"/>
            <w:bookmarkStart w:id="384" w:name="_Toc32150"/>
            <w:bookmarkStart w:id="385" w:name="_Toc9977"/>
            <w:bookmarkStart w:id="386" w:name="_Toc3683"/>
            <w:r>
              <w:rPr>
                <w:rFonts w:hint="default" w:ascii="Times New Roman" w:hAnsi="Times New Roman" w:cs="Times New Roman"/>
                <w:b/>
                <w:bCs/>
                <w:color w:val="auto"/>
                <w:sz w:val="21"/>
                <w:szCs w:val="21"/>
                <w:vertAlign w:val="baseline"/>
                <w:lang w:val="en-US" w:eastAsia="zh-CN"/>
              </w:rPr>
              <w:t>监测类别</w:t>
            </w:r>
          </w:p>
        </w:tc>
        <w:tc>
          <w:tcPr>
            <w:tcW w:w="108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1086"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监测因子</w:t>
            </w:r>
          </w:p>
        </w:tc>
        <w:tc>
          <w:tcPr>
            <w:tcW w:w="1914"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c>
          <w:tcPr>
            <w:tcW w:w="3372"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厂界噪声</w:t>
            </w:r>
          </w:p>
        </w:tc>
        <w:tc>
          <w:tcPr>
            <w:tcW w:w="10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厂界四周</w:t>
            </w:r>
          </w:p>
        </w:tc>
        <w:tc>
          <w:tcPr>
            <w:tcW w:w="10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ajorEastAsia"/>
                <w:color w:val="auto"/>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eastAsia="zh-CN"/>
              </w:rPr>
              <w:t>连续</w:t>
            </w:r>
            <w:r>
              <w:rPr>
                <w:rFonts w:hint="default" w:ascii="Times New Roman" w:hAnsi="Times New Roman" w:cs="Times New Roman" w:eastAsiaTheme="majorEastAsia"/>
                <w:color w:val="auto"/>
                <w:sz w:val="21"/>
                <w:szCs w:val="21"/>
              </w:rPr>
              <w:t>等效A声级</w:t>
            </w:r>
          </w:p>
        </w:tc>
        <w:tc>
          <w:tcPr>
            <w:tcW w:w="191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连续监测</w:t>
            </w:r>
            <w:r>
              <w:rPr>
                <w:rFonts w:hint="eastAsia" w:ascii="Times New Roman" w:hAnsi="Times New Roman"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天</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每天昼</w:t>
            </w:r>
            <w:r>
              <w:rPr>
                <w:rFonts w:hint="eastAsia" w:ascii="Times New Roman" w:hAnsi="Times New Roman" w:cs="Times New Roman"/>
                <w:color w:val="auto"/>
                <w:sz w:val="21"/>
                <w:szCs w:val="21"/>
                <w:vertAlign w:val="baseline"/>
                <w:lang w:val="en-US" w:eastAsia="zh-CN"/>
              </w:rPr>
              <w:t>间</w:t>
            </w:r>
            <w:r>
              <w:rPr>
                <w:rFonts w:hint="eastAsia" w:cs="Times New Roman"/>
                <w:color w:val="auto"/>
                <w:sz w:val="21"/>
                <w:szCs w:val="21"/>
                <w:vertAlign w:val="baseline"/>
                <w:lang w:val="en-US" w:eastAsia="zh-CN"/>
              </w:rPr>
              <w:t>、夜间</w:t>
            </w:r>
            <w:r>
              <w:rPr>
                <w:rFonts w:hint="default" w:ascii="Times New Roman" w:hAnsi="Times New Roman" w:cs="Times New Roman"/>
                <w:color w:val="auto"/>
                <w:sz w:val="21"/>
                <w:szCs w:val="21"/>
                <w:vertAlign w:val="baseline"/>
                <w:lang w:val="en-US" w:eastAsia="zh-CN"/>
              </w:rPr>
              <w:t>监测</w:t>
            </w:r>
            <w:r>
              <w:rPr>
                <w:rFonts w:hint="eastAsia"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次</w:t>
            </w:r>
          </w:p>
        </w:tc>
        <w:tc>
          <w:tcPr>
            <w:tcW w:w="337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《工业企业厂界环境噪声排放标准》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GB12348-20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8</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中</w:t>
            </w:r>
            <w:r>
              <w:rPr>
                <w:rFonts w:hint="eastAsia" w:cs="Times New Roman"/>
                <w:bCs/>
                <w:color w:val="auto"/>
                <w:sz w:val="21"/>
                <w:szCs w:val="21"/>
                <w:lang w:val="en-US" w:eastAsia="zh-CN"/>
              </w:rPr>
              <w:t>3</w:t>
            </w:r>
            <w:r>
              <w:rPr>
                <w:rFonts w:hint="default" w:ascii="Times New Roman" w:hAnsi="Times New Roman" w:cs="Times New Roman"/>
                <w:bCs/>
                <w:color w:val="auto"/>
                <w:sz w:val="21"/>
                <w:szCs w:val="21"/>
              </w:rPr>
              <w:t>类标准</w:t>
            </w:r>
          </w:p>
        </w:tc>
      </w:tr>
    </w:tbl>
    <w:p>
      <w:pPr>
        <w:pStyle w:val="4"/>
        <w:pageBreakBefore w:val="0"/>
        <w:widowControl w:val="0"/>
        <w:kinsoku/>
        <w:wordWrap/>
        <w:overflowPunct/>
        <w:topLinePunct w:val="0"/>
        <w:autoSpaceDE/>
        <w:autoSpaceDN/>
        <w:bidi w:val="0"/>
        <w:spacing w:line="520" w:lineRule="exact"/>
        <w:textAlignment w:val="auto"/>
        <w:rPr>
          <w:rFonts w:cs="Times New Roman"/>
          <w:szCs w:val="28"/>
        </w:rPr>
      </w:pPr>
      <w:bookmarkStart w:id="387" w:name="_Toc29205"/>
      <w:r>
        <w:rPr>
          <w:rFonts w:cs="Times New Roman"/>
          <w:szCs w:val="28"/>
        </w:rPr>
        <w:t>7.1.4 固体废物监测</w:t>
      </w:r>
      <w:bookmarkEnd w:id="377"/>
      <w:bookmarkEnd w:id="378"/>
      <w:bookmarkEnd w:id="379"/>
      <w:bookmarkEnd w:id="380"/>
      <w:bookmarkEnd w:id="381"/>
      <w:bookmarkEnd w:id="382"/>
      <w:bookmarkEnd w:id="383"/>
      <w:bookmarkEnd w:id="384"/>
      <w:bookmarkEnd w:id="385"/>
      <w:bookmarkEnd w:id="386"/>
      <w:bookmarkEnd w:id="387"/>
    </w:p>
    <w:p>
      <w:pPr>
        <w:pageBreakBefore w:val="0"/>
        <w:widowControl w:val="0"/>
        <w:kinsoku/>
        <w:wordWrap/>
        <w:overflowPunct/>
        <w:topLinePunct w:val="0"/>
        <w:autoSpaceDE/>
        <w:autoSpaceDN/>
        <w:bidi w:val="0"/>
        <w:adjustRightInd w:val="0"/>
        <w:snapToGrid w:val="0"/>
        <w:spacing w:line="520" w:lineRule="exact"/>
        <w:ind w:firstLine="480"/>
        <w:textAlignment w:val="auto"/>
        <w:rPr>
          <w:rFonts w:cs="Times New Roman"/>
        </w:rPr>
      </w:pPr>
      <w:bookmarkStart w:id="388" w:name="_Toc9829"/>
      <w:bookmarkStart w:id="389" w:name="_Toc30382"/>
      <w:bookmarkStart w:id="390" w:name="_Toc11299"/>
      <w:bookmarkStart w:id="391" w:name="_Toc32132"/>
      <w:bookmarkStart w:id="392" w:name="_Toc8361"/>
      <w:bookmarkStart w:id="393" w:name="_Toc7249"/>
      <w:bookmarkStart w:id="394" w:name="_Toc29200"/>
      <w:bookmarkStart w:id="395" w:name="_Toc17645"/>
      <w:bookmarkStart w:id="396" w:name="_Toc8437"/>
      <w:bookmarkStart w:id="397" w:name="_Toc29651"/>
      <w:r>
        <w:rPr>
          <w:rFonts w:hint="eastAsia" w:cs="Times New Roman"/>
        </w:rPr>
        <w:t>本项目固体废物均不外排，因此本次验收调查固体废物储存处置是否符合环评及批复要求。</w:t>
      </w:r>
    </w:p>
    <w:bookmarkEnd w:id="388"/>
    <w:bookmarkEnd w:id="389"/>
    <w:bookmarkEnd w:id="390"/>
    <w:bookmarkEnd w:id="391"/>
    <w:bookmarkEnd w:id="392"/>
    <w:bookmarkEnd w:id="393"/>
    <w:bookmarkEnd w:id="394"/>
    <w:bookmarkEnd w:id="395"/>
    <w:bookmarkEnd w:id="396"/>
    <w:bookmarkEnd w:id="397"/>
    <w:p>
      <w:pPr>
        <w:pStyle w:val="2"/>
        <w:pageBreakBefore w:val="0"/>
        <w:widowControl w:val="0"/>
        <w:numPr>
          <w:ilvl w:val="0"/>
          <w:numId w:val="3"/>
        </w:numPr>
        <w:kinsoku/>
        <w:wordWrap/>
        <w:overflowPunct/>
        <w:topLinePunct w:val="0"/>
        <w:autoSpaceDE/>
        <w:autoSpaceDN/>
        <w:bidi w:val="0"/>
        <w:spacing w:beforeLines="0" w:afterLines="0" w:line="520" w:lineRule="exact"/>
        <w:textAlignment w:val="auto"/>
      </w:pPr>
      <w:bookmarkStart w:id="398" w:name="_Toc7868"/>
      <w:bookmarkStart w:id="399" w:name="_Toc9627"/>
      <w:bookmarkStart w:id="400" w:name="_Toc2820"/>
      <w:bookmarkStart w:id="401" w:name="_Toc4000"/>
      <w:bookmarkStart w:id="402" w:name="_Toc7542"/>
      <w:bookmarkStart w:id="403" w:name="_Toc17307"/>
      <w:bookmarkStart w:id="404" w:name="_Toc22212"/>
      <w:bookmarkStart w:id="405" w:name="_Toc11616"/>
      <w:bookmarkStart w:id="406" w:name="_Toc10434"/>
      <w:bookmarkStart w:id="407" w:name="_Toc7273"/>
      <w:bookmarkStart w:id="408" w:name="_Toc12876"/>
      <w:bookmarkStart w:id="409" w:name="_Toc25941"/>
      <w:r>
        <w:t>质量保证及质量控制</w:t>
      </w:r>
      <w:bookmarkEnd w:id="398"/>
      <w:bookmarkEnd w:id="399"/>
      <w:bookmarkEnd w:id="400"/>
      <w:bookmarkEnd w:id="401"/>
      <w:bookmarkEnd w:id="402"/>
      <w:bookmarkEnd w:id="403"/>
      <w:bookmarkEnd w:id="404"/>
      <w:bookmarkEnd w:id="405"/>
      <w:bookmarkEnd w:id="406"/>
      <w:bookmarkEnd w:id="407"/>
      <w:bookmarkEnd w:id="408"/>
      <w:bookmarkEnd w:id="409"/>
    </w:p>
    <w:p>
      <w:pPr>
        <w:pageBreakBefore w:val="0"/>
        <w:widowControl w:val="0"/>
        <w:kinsoku/>
        <w:wordWrap/>
        <w:overflowPunct/>
        <w:topLinePunct w:val="0"/>
        <w:autoSpaceDE/>
        <w:autoSpaceDN/>
        <w:bidi w:val="0"/>
        <w:spacing w:line="520" w:lineRule="exact"/>
        <w:ind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本次验收监测委托</w:t>
      </w:r>
      <w:r>
        <w:rPr>
          <w:rFonts w:hint="eastAsia" w:cs="Times New Roman"/>
          <w:color w:val="000000" w:themeColor="text1"/>
          <w:lang w:val="en-US" w:eastAsia="zh-CN"/>
          <w14:textFill>
            <w14:solidFill>
              <w14:schemeClr w14:val="tx1"/>
            </w14:solidFill>
          </w14:textFill>
        </w:rPr>
        <w:t>河南中弘国泰检测技术有限公司</w:t>
      </w:r>
      <w:r>
        <w:rPr>
          <w:rFonts w:cs="Times New Roman"/>
          <w:color w:val="000000" w:themeColor="text1"/>
          <w14:textFill>
            <w14:solidFill>
              <w14:schemeClr w14:val="tx1"/>
            </w14:solidFill>
          </w14:textFill>
        </w:rPr>
        <w:t>进行。</w:t>
      </w:r>
    </w:p>
    <w:p>
      <w:pPr>
        <w:pStyle w:val="3"/>
        <w:pageBreakBefore w:val="0"/>
        <w:widowControl w:val="0"/>
        <w:kinsoku/>
        <w:wordWrap/>
        <w:overflowPunct/>
        <w:topLinePunct w:val="0"/>
        <w:autoSpaceDE/>
        <w:autoSpaceDN/>
        <w:bidi w:val="0"/>
        <w:spacing w:beforeLines="0" w:afterLines="0" w:line="520" w:lineRule="exact"/>
        <w:textAlignment w:val="auto"/>
      </w:pPr>
      <w:bookmarkStart w:id="410" w:name="_Toc25297"/>
      <w:bookmarkStart w:id="411" w:name="_Toc18169"/>
      <w:bookmarkStart w:id="412" w:name="_Toc22564"/>
      <w:bookmarkStart w:id="413" w:name="_Toc352"/>
      <w:bookmarkStart w:id="414" w:name="_Toc22681"/>
      <w:bookmarkStart w:id="415" w:name="_Toc14704"/>
      <w:bookmarkStart w:id="416" w:name="_Toc24151"/>
      <w:bookmarkStart w:id="417" w:name="_Toc6898"/>
      <w:bookmarkStart w:id="418" w:name="_Toc1804"/>
      <w:bookmarkStart w:id="419" w:name="_Toc1549"/>
      <w:bookmarkStart w:id="420" w:name="_Toc8872"/>
      <w:bookmarkStart w:id="421" w:name="_Toc16003"/>
      <w:r>
        <w:t>8.1 监测分析方法</w:t>
      </w:r>
      <w:bookmarkEnd w:id="410"/>
      <w:bookmarkEnd w:id="411"/>
      <w:bookmarkEnd w:id="412"/>
      <w:bookmarkEnd w:id="413"/>
      <w:bookmarkEnd w:id="414"/>
      <w:bookmarkEnd w:id="415"/>
      <w:bookmarkEnd w:id="416"/>
      <w:bookmarkEnd w:id="417"/>
      <w:bookmarkEnd w:id="418"/>
      <w:bookmarkEnd w:id="419"/>
      <w:bookmarkEnd w:id="420"/>
      <w:bookmarkEnd w:id="421"/>
    </w:p>
    <w:p>
      <w:pPr>
        <w:pageBreakBefore w:val="0"/>
        <w:widowControl w:val="0"/>
        <w:kinsoku/>
        <w:wordWrap/>
        <w:overflowPunct/>
        <w:topLinePunct w:val="0"/>
        <w:autoSpaceDE/>
        <w:autoSpaceDN/>
        <w:bidi w:val="0"/>
        <w:spacing w:line="520" w:lineRule="exact"/>
        <w:ind w:firstLine="482"/>
        <w:jc w:val="center"/>
        <w:textAlignment w:val="auto"/>
        <w:rPr>
          <w:rFonts w:cs="Times New Roman"/>
        </w:rPr>
      </w:pPr>
      <w:bookmarkStart w:id="422" w:name="_Toc17460"/>
      <w:r>
        <w:rPr>
          <w:rFonts w:cs="Times New Roman"/>
          <w:b/>
          <w:bCs/>
        </w:rPr>
        <w:t>表8-1</w:t>
      </w:r>
      <w:r>
        <w:rPr>
          <w:rFonts w:cs="Times New Roman"/>
        </w:rPr>
        <w:t xml:space="preserve"> </w:t>
      </w:r>
      <w:r>
        <w:rPr>
          <w:rFonts w:cs="Times New Roman"/>
          <w:b/>
          <w:bCs/>
        </w:rPr>
        <w:t xml:space="preserve"> 监测分析方法一览表</w:t>
      </w:r>
      <w:bookmarkEnd w:id="422"/>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323"/>
        <w:gridCol w:w="3187"/>
        <w:gridCol w:w="1762"/>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bookmarkStart w:id="423" w:name="_Toc22411"/>
            <w:bookmarkStart w:id="424" w:name="_Toc25769"/>
            <w:bookmarkStart w:id="425" w:name="_Toc4757"/>
            <w:bookmarkStart w:id="426" w:name="_Toc3385"/>
            <w:bookmarkStart w:id="427" w:name="_Toc838"/>
            <w:bookmarkStart w:id="428" w:name="_Toc20067"/>
            <w:bookmarkStart w:id="429" w:name="_Toc17592"/>
            <w:bookmarkStart w:id="430" w:name="_Toc31739"/>
            <w:r>
              <w:rPr>
                <w:rFonts w:hint="eastAsia"/>
                <w:b/>
                <w:bCs/>
                <w:color w:val="000000" w:themeColor="text1"/>
                <w:sz w:val="21"/>
                <w:szCs w:val="21"/>
                <w14:textFill>
                  <w14:solidFill>
                    <w14:schemeClr w14:val="tx1"/>
                  </w14:solidFill>
                </w14:textFill>
              </w:rPr>
              <w:t>检测类别</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检测项目</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检测标准（方法）及编号（年</w:t>
            </w:r>
            <w:r>
              <w:rPr>
                <w:rFonts w:hint="eastAsia"/>
                <w:b/>
                <w:bCs/>
                <w:color w:val="000000" w:themeColor="text1"/>
                <w:sz w:val="21"/>
                <w:szCs w:val="21"/>
                <w:lang w:val="en-US" w:eastAsia="zh-CN"/>
                <w14:textFill>
                  <w14:solidFill>
                    <w14:schemeClr w14:val="tx1"/>
                  </w14:solidFill>
                </w14:textFill>
              </w:rPr>
              <w:t>号</w:t>
            </w:r>
            <w:r>
              <w:rPr>
                <w:rFonts w:hint="eastAsia"/>
                <w:b/>
                <w:bCs/>
                <w:color w:val="000000" w:themeColor="text1"/>
                <w:sz w:val="21"/>
                <w:szCs w:val="21"/>
                <w14:textFill>
                  <w14:solidFill>
                    <w14:schemeClr w14:val="tx1"/>
                  </w14:solidFill>
                </w14:textFill>
              </w:rPr>
              <w:t>）</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主要仪器</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r>
              <w:rPr>
                <w:rFonts w:hint="eastAsia"/>
                <w:color w:val="000000" w:themeColor="text1"/>
                <w:sz w:val="21"/>
                <w:szCs w:val="21"/>
                <w:lang w:val="en-US" w:eastAsia="zh-CN"/>
                <w14:textFill>
                  <w14:solidFill>
                    <w14:schemeClr w14:val="tx1"/>
                  </w14:solidFill>
                </w14:textFill>
              </w:rPr>
              <w:t>废水</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悬浮物</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水质 悬浮物的测定　重量法</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GB 11901-1989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万分之一电子天平/FA224/JS-004</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化学需氧量</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水质 化学需氧量的测定 重铬酸盐法  HJ 828-2017</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bCs/>
                <w:color w:val="000000" w:themeColor="text1"/>
                <w:kern w:val="2"/>
                <w:sz w:val="21"/>
                <w:szCs w:val="21"/>
                <w:lang w:val="en-US" w:eastAsia="zh-CN" w:bidi="ar-SA"/>
                <w14:textFill>
                  <w14:solidFill>
                    <w14:schemeClr w14:val="tx1"/>
                  </w14:solidFill>
                </w14:textFill>
              </w:rPr>
              <w:t>标准微品COD</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bCs/>
                <w:color w:val="000000" w:themeColor="text1"/>
                <w:kern w:val="2"/>
                <w:sz w:val="21"/>
                <w:szCs w:val="21"/>
                <w:lang w:val="en-US" w:eastAsia="zh-CN" w:bidi="ar-SA"/>
                <w14:textFill>
                  <w14:solidFill>
                    <w14:schemeClr w14:val="tx1"/>
                  </w14:solidFill>
                </w14:textFill>
              </w:rPr>
              <w:t>消解仪/GL-108/JS-0007</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五日生化需氧量</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lang w:bidi="ar"/>
                <w14:textFill>
                  <w14:solidFill>
                    <w14:schemeClr w14:val="tx1"/>
                  </w14:solidFill>
                </w14:textFill>
              </w:rPr>
              <w:t>5</w:t>
            </w:r>
            <w:r>
              <w:rPr>
                <w:rFonts w:hint="default" w:ascii="Times New Roman" w:hAnsi="Times New Roman" w:eastAsia="宋体" w:cs="Times New Roman"/>
                <w:color w:val="000000" w:themeColor="text1"/>
                <w:sz w:val="21"/>
                <w:szCs w:val="21"/>
                <w:lang w:bidi="ar"/>
                <w14:textFill>
                  <w14:solidFill>
                    <w14:schemeClr w14:val="tx1"/>
                  </w14:solidFill>
                </w14:textFill>
              </w:rPr>
              <w:t>)</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水质 五日生化需氧量</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lang w:bidi="ar"/>
                <w14:textFill>
                  <w14:solidFill>
                    <w14:schemeClr w14:val="tx1"/>
                  </w14:solidFill>
                </w14:textFill>
              </w:rPr>
              <w:t>5</w:t>
            </w:r>
            <w:r>
              <w:rPr>
                <w:rFonts w:hint="default" w:ascii="Times New Roman" w:hAnsi="Times New Roman" w:eastAsia="宋体" w:cs="Times New Roman"/>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的测定 稀释与接种法HJ</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1"/>
                <w:szCs w:val="21"/>
                <w:lang w:bidi="ar"/>
                <w14:textFill>
                  <w14:solidFill>
                    <w14:schemeClr w14:val="tx1"/>
                  </w14:solidFill>
                </w14:textFill>
              </w:rPr>
              <w:t>505-2009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bidi="ar"/>
                <w14:textFill>
                  <w14:solidFill>
                    <w14:schemeClr w14:val="tx1"/>
                  </w14:solidFill>
                </w14:textFill>
              </w:rPr>
              <w:t>生化</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培养箱</w:t>
            </w:r>
            <w:r>
              <w:rPr>
                <w:rFonts w:hint="eastAsia" w:eastAsia="宋体" w:cs="Times New Roman"/>
                <w:color w:val="000000" w:themeColor="text1"/>
                <w:sz w:val="21"/>
                <w:szCs w:val="21"/>
                <w:lang w:val="en-US" w:eastAsia="zh-CN" w:bidi="ar"/>
                <w14:textFill>
                  <w14:solidFill>
                    <w14:schemeClr w14:val="tx1"/>
                  </w14:solidFill>
                </w14:textFill>
              </w:rPr>
              <w:t>/SPJ-150/JS-008</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pH值</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水质 pH值的测定</w:t>
            </w:r>
            <w:r>
              <w:rPr>
                <w:rFonts w:hint="eastAsia" w:eastAsia="宋体" w:cs="Times New Roman"/>
                <w:color w:val="000000" w:themeColor="text1"/>
                <w:sz w:val="21"/>
                <w:szCs w:val="21"/>
                <w:vertAlign w:val="baseline"/>
                <w:lang w:val="en-US" w:eastAsia="zh-CN"/>
                <w14:textFill>
                  <w14:solidFill>
                    <w14:schemeClr w14:val="tx1"/>
                  </w14:solidFill>
                </w14:textFill>
              </w:rPr>
              <w:t>电极</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法</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GB </w:t>
            </w:r>
            <w:r>
              <w:rPr>
                <w:rFonts w:hint="eastAsia" w:eastAsia="宋体" w:cs="Times New Roman"/>
                <w:color w:val="000000" w:themeColor="text1"/>
                <w:sz w:val="21"/>
                <w:szCs w:val="21"/>
                <w:vertAlign w:val="baseline"/>
                <w:lang w:val="en-US" w:eastAsia="zh-CN"/>
                <w14:textFill>
                  <w14:solidFill>
                    <w14:schemeClr w14:val="tx1"/>
                  </w14:solidFill>
                </w14:textFill>
              </w:rPr>
              <w:t>1147-2020</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酸度计/pHS-3E/JS-013</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氨氮</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水质 氨氮的测定 纳氏试剂分光光度法 HJ 535-2009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紫外可见分光光度计</w:t>
            </w:r>
            <w:r>
              <w:rPr>
                <w:rFonts w:hint="eastAsia"/>
                <w:color w:val="000000" w:themeColor="text1"/>
                <w:sz w:val="21"/>
                <w:szCs w:val="21"/>
                <w:lang w:val="en-US" w:eastAsia="zh-CN"/>
                <w14:textFill>
                  <w14:solidFill>
                    <w14:schemeClr w14:val="tx1"/>
                  </w14:solidFill>
                </w14:textFill>
              </w:rPr>
              <w:t>/752（自动）/JS-001</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总氮</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水质 总</w:t>
            </w:r>
            <w:r>
              <w:rPr>
                <w:rFonts w:hint="eastAsia" w:eastAsia="宋体" w:cs="Times New Roman"/>
                <w:color w:val="000000" w:themeColor="text1"/>
                <w:sz w:val="21"/>
                <w:szCs w:val="21"/>
                <w:lang w:val="en-US" w:eastAsia="zh-CN" w:bidi="ar"/>
                <w14:textFill>
                  <w14:solidFill>
                    <w14:schemeClr w14:val="tx1"/>
                  </w14:solidFill>
                </w14:textFill>
              </w:rPr>
              <w:t>氮</w:t>
            </w:r>
            <w:r>
              <w:rPr>
                <w:rFonts w:hint="default" w:ascii="Times New Roman" w:hAnsi="Times New Roman" w:eastAsia="宋体" w:cs="Times New Roman"/>
                <w:color w:val="000000" w:themeColor="text1"/>
                <w:sz w:val="21"/>
                <w:szCs w:val="21"/>
                <w:lang w:bidi="ar"/>
                <w14:textFill>
                  <w14:solidFill>
                    <w14:schemeClr w14:val="tx1"/>
                  </w14:solidFill>
                </w14:textFill>
              </w:rPr>
              <w:t xml:space="preserve">的测定 </w:t>
            </w:r>
            <w:r>
              <w:rPr>
                <w:rFonts w:hint="eastAsia" w:eastAsia="宋体" w:cs="Times New Roman"/>
                <w:color w:val="000000" w:themeColor="text1"/>
                <w:sz w:val="21"/>
                <w:szCs w:val="21"/>
                <w:lang w:val="en-US" w:eastAsia="zh-CN" w:bidi="ar"/>
                <w14:textFill>
                  <w14:solidFill>
                    <w14:schemeClr w14:val="tx1"/>
                  </w14:solidFill>
                </w14:textFill>
              </w:rPr>
              <w:t>碱性过硫酸钾消解紫外分光光度法HJ636</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eastAsia" w:cs="Times New Roman"/>
                <w:color w:val="000000" w:themeColor="text1"/>
                <w:sz w:val="21"/>
                <w:szCs w:val="21"/>
                <w:lang w:val="en-US" w:eastAsia="zh-CN" w:bidi="ar"/>
                <w14:textFill>
                  <w14:solidFill>
                    <w14:schemeClr w14:val="tx1"/>
                  </w14:solidFill>
                </w14:textFill>
              </w:rPr>
              <w:t>2012</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紫外可见分光光度计</w:t>
            </w:r>
            <w:r>
              <w:rPr>
                <w:rFonts w:hint="eastAsia"/>
                <w:color w:val="000000" w:themeColor="text1"/>
                <w:sz w:val="21"/>
                <w:szCs w:val="21"/>
                <w:lang w:val="en-US" w:eastAsia="zh-CN"/>
                <w14:textFill>
                  <w14:solidFill>
                    <w14:schemeClr w14:val="tx1"/>
                  </w14:solidFill>
                </w14:textFill>
              </w:rPr>
              <w:t>/752（自动）/JS-001</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aps w:val="0"/>
                <w:color w:val="000000" w:themeColor="text1"/>
                <w:spacing w:val="0"/>
                <w:kern w:val="2"/>
                <w:sz w:val="21"/>
                <w:szCs w:val="21"/>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总磷</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水质 总磷的测定 钼酸铵分光光度法GB 11893-</w:t>
            </w:r>
            <w:r>
              <w:rPr>
                <w:rFonts w:hint="eastAsia" w:ascii="Times New Roman" w:hAnsi="Times New Roman" w:cs="Times New Roman"/>
                <w:color w:val="000000" w:themeColor="text1"/>
                <w:sz w:val="21"/>
                <w:szCs w:val="21"/>
                <w:lang w:val="en-US" w:eastAsia="zh-CN" w:bidi="ar"/>
                <w14:textFill>
                  <w14:solidFill>
                    <w14:schemeClr w14:val="tx1"/>
                  </w14:solidFill>
                </w14:textFill>
              </w:rPr>
              <w:t>19</w:t>
            </w:r>
            <w:r>
              <w:rPr>
                <w:rFonts w:hint="default" w:ascii="Times New Roman" w:hAnsi="Times New Roman" w:eastAsia="宋体" w:cs="Times New Roman"/>
                <w:color w:val="000000" w:themeColor="text1"/>
                <w:sz w:val="21"/>
                <w:szCs w:val="21"/>
                <w:lang w:bidi="ar"/>
                <w14:textFill>
                  <w14:solidFill>
                    <w14:schemeClr w14:val="tx1"/>
                  </w14:solidFill>
                </w14:textFill>
              </w:rPr>
              <w:t>89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紫外可见分光光度计</w:t>
            </w:r>
            <w:r>
              <w:rPr>
                <w:rFonts w:hint="eastAsia"/>
                <w:color w:val="000000" w:themeColor="text1"/>
                <w:sz w:val="21"/>
                <w:szCs w:val="21"/>
                <w:lang w:val="en-US" w:eastAsia="zh-CN"/>
                <w14:textFill>
                  <w14:solidFill>
                    <w14:schemeClr w14:val="tx1"/>
                  </w14:solidFill>
                </w14:textFill>
              </w:rPr>
              <w:t>/752（自动）/JS-001</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0.01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olor w:val="0000FF"/>
                <w:sz w:val="21"/>
                <w:szCs w:val="21"/>
                <w:lang w:val="en-US" w:eastAsia="zh-CN"/>
              </w:rPr>
            </w:pPr>
            <w:r>
              <w:rPr>
                <w:rFonts w:hint="eastAsia"/>
                <w:color w:val="000000" w:themeColor="text1"/>
                <w:sz w:val="21"/>
                <w:szCs w:val="21"/>
                <w:lang w:val="en-US" w:eastAsia="zh-CN"/>
                <w14:textFill>
                  <w14:solidFill>
                    <w14:schemeClr w14:val="tx1"/>
                  </w14:solidFill>
                </w14:textFill>
              </w:rPr>
              <w:t>废气</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 xml:space="preserve">固定污染源排气中颗粒物测定与气态污染物采样方法 </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GB/T 16157-1996</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万分之一电子天平/FA224/JS-004</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固定污染源废气</w:t>
            </w:r>
            <w:r>
              <w:rPr>
                <w:rFonts w:hint="eastAsia" w:ascii="Times New Roman" w:hAnsi="Times New Roman"/>
                <w:color w:val="000000" w:themeColor="text1"/>
                <w:sz w:val="21"/>
                <w:szCs w:val="21"/>
                <w:lang w:val="en-US" w:eastAsia="zh-CN"/>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低浓度颗粒物的测定 重量法</w:t>
            </w:r>
            <w:r>
              <w:rPr>
                <w:rFonts w:hint="eastAsia" w:ascii="Times New Roman" w:hAnsi="Times New Roman"/>
                <w:color w:val="000000" w:themeColor="text1"/>
                <w:sz w:val="21"/>
                <w:szCs w:val="21"/>
                <w14:textFill>
                  <w14:solidFill>
                    <w14:schemeClr w14:val="tx1"/>
                  </w14:solidFill>
                </w14:textFill>
              </w:rPr>
              <w:t>HJ 836-2017</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十万分之一</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电子天平/ES1035B/JS-005</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r>
              <w:rPr>
                <w:rFonts w:hint="eastAsia" w:ascii="Times New Roman" w:hAnsi="Times New Roman"/>
                <w:color w:val="000000" w:themeColor="text1"/>
                <w:sz w:val="21"/>
                <w:szCs w:val="21"/>
                <w14:textFill>
                  <w14:solidFill>
                    <w14:schemeClr w14:val="tx1"/>
                  </w14:solidFill>
                </w14:textFill>
              </w:rPr>
              <w:t>1.0 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31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固定污染源</w:t>
            </w:r>
            <w:r>
              <w:rPr>
                <w:rStyle w:val="23"/>
                <w:rFonts w:hint="eastAsia" w:ascii="Times New Roman" w:hAnsi="Times New Roman" w:eastAsia="宋体" w:cs="Times New Roman"/>
                <w:color w:val="000000" w:themeColor="text1"/>
                <w:kern w:val="2"/>
                <w:sz w:val="21"/>
                <w:lang w:val="en-US" w:eastAsia="zh-CN" w:bidi="ar-SA"/>
                <w14:textFill>
                  <w14:solidFill>
                    <w14:schemeClr w14:val="tx1"/>
                  </w14:solidFill>
                </w14:textFill>
              </w:rPr>
              <w:t>废气  总烃、甲烷和非甲烷总烃</w:t>
            </w: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测定 气相色谱法</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olor w:val="000000" w:themeColor="text1"/>
                <w:sz w:val="21"/>
                <w:szCs w:val="21"/>
                <w:lang w:val="en-US"/>
                <w14:textFill>
                  <w14:solidFill>
                    <w14:schemeClr w14:val="tx1"/>
                  </w14:solidFill>
                </w14:textFill>
              </w:rPr>
            </w:pPr>
            <w:r>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t>HJ 38-</w:t>
            </w:r>
            <w:r>
              <w:rPr>
                <w:rStyle w:val="23"/>
                <w:rFonts w:hint="eastAsia" w:ascii="Times New Roman" w:hAnsi="Times New Roman" w:eastAsia="宋体" w:cs="Times New Roman"/>
                <w:color w:val="000000" w:themeColor="text1"/>
                <w:kern w:val="2"/>
                <w:sz w:val="21"/>
                <w:lang w:val="en-US" w:eastAsia="zh-CN" w:bidi="ar-SA"/>
                <w14:textFill>
                  <w14:solidFill>
                    <w14:schemeClr w14:val="tx1"/>
                  </w14:solidFill>
                </w14:textFill>
              </w:rPr>
              <w:t>2017</w:t>
            </w:r>
          </w:p>
        </w:tc>
        <w:tc>
          <w:tcPr>
            <w:tcW w:w="176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气相色谱仪/GC9790</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Ⅱ</w:t>
            </w:r>
            <w:r>
              <w:rPr>
                <w:rFonts w:hint="eastAsia" w:eastAsia="宋体" w:cs="Times New Roman"/>
                <w:color w:val="000000" w:themeColor="text1"/>
                <w:sz w:val="21"/>
                <w:szCs w:val="21"/>
                <w:lang w:val="en-US" w:eastAsia="zh-CN" w:bidi="ar"/>
                <w14:textFill>
                  <w14:solidFill>
                    <w14:schemeClr w14:val="tx1"/>
                  </w14:solidFill>
                </w14:textFill>
              </w:rPr>
              <w:t>/JS-</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bidi="ar"/>
                <w14:textFill>
                  <w14:solidFill>
                    <w14:schemeClr w14:val="tx1"/>
                  </w14:solidFill>
                </w14:textFill>
              </w:rPr>
              <w:t>003</w:t>
            </w:r>
          </w:p>
        </w:tc>
        <w:tc>
          <w:tcPr>
            <w:tcW w:w="116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 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p>
        </w:tc>
        <w:tc>
          <w:tcPr>
            <w:tcW w:w="318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Style w:val="23"/>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Style w:val="23"/>
                <w:rFonts w:hint="default" w:ascii="Times New Roman" w:hAnsi="Times New Roman" w:eastAsia="宋体" w:cs="Times New Roman"/>
                <w:kern w:val="2"/>
                <w:sz w:val="21"/>
                <w:lang w:val="en-US" w:eastAsia="zh-CN" w:bidi="ar-SA"/>
              </w:rPr>
              <w:t>环境空气  总烃、甲烷和非甲烷总烃的测定  直接进样-气相色谱法HJ604-2017</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p>
        </w:tc>
        <w:tc>
          <w:tcPr>
            <w:tcW w:w="116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0.07</w:t>
            </w:r>
            <w:r>
              <w:rPr>
                <w:rFonts w:hint="default" w:ascii="Times New Roman" w:hAnsi="Times New Roman" w:eastAsia="宋体" w:cs="Times New Roman"/>
                <w:bCs/>
                <w:color w:val="000000" w:themeColor="text1"/>
                <w:sz w:val="21"/>
                <w:szCs w:val="21"/>
                <w14:textFill>
                  <w14:solidFill>
                    <w14:schemeClr w14:val="tx1"/>
                  </w14:solidFill>
                </w14:textFill>
              </w:rPr>
              <w:t>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油烟</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 xml:space="preserve">固定污染源废气 </w:t>
            </w:r>
            <w:r>
              <w:rPr>
                <w:rFonts w:hint="eastAsia"/>
                <w:color w:val="000000" w:themeColor="text1"/>
                <w:sz w:val="21"/>
                <w:szCs w:val="21"/>
                <w:lang w:val="en-US" w:eastAsia="zh-CN"/>
                <w14:textFill>
                  <w14:solidFill>
                    <w14:schemeClr w14:val="tx1"/>
                  </w14:solidFill>
                </w14:textFill>
              </w:rPr>
              <w:t>油烟和油雾</w:t>
            </w:r>
            <w:r>
              <w:rPr>
                <w:rFonts w:hint="eastAsia" w:ascii="Times New Roman" w:hAnsi="Times New Roman"/>
                <w:color w:val="000000" w:themeColor="text1"/>
                <w:sz w:val="21"/>
                <w:szCs w:val="21"/>
                <w14:textFill>
                  <w14:solidFill>
                    <w14:schemeClr w14:val="tx1"/>
                  </w14:solidFill>
                </w14:textFill>
              </w:rPr>
              <w:t xml:space="preserve">的测定 </w:t>
            </w:r>
            <w:r>
              <w:rPr>
                <w:rFonts w:hint="eastAsia"/>
                <w:color w:val="000000" w:themeColor="text1"/>
                <w:sz w:val="21"/>
                <w:szCs w:val="21"/>
                <w:lang w:val="en-US" w:eastAsia="zh-CN"/>
                <w14:textFill>
                  <w14:solidFill>
                    <w14:schemeClr w14:val="tx1"/>
                  </w14:solidFill>
                </w14:textFill>
              </w:rPr>
              <w:t>红外分光光度法HJ1077-2019</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红外测油仪/LT-21A/JS-002</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w:t>
            </w:r>
            <w:r>
              <w:rPr>
                <w:rFonts w:hint="eastAsia" w:ascii="Times New Roman" w:hAnsi="Times New Roman"/>
                <w:color w:val="000000" w:themeColor="text1"/>
                <w:sz w:val="21"/>
                <w:szCs w:val="21"/>
                <w14:textFill>
                  <w14:solidFill>
                    <w14:schemeClr w14:val="tx1"/>
                  </w14:solidFill>
                </w14:textFill>
              </w:rPr>
              <w:t>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w:t>
            </w:r>
          </w:p>
        </w:tc>
        <w:tc>
          <w:tcPr>
            <w:tcW w:w="3187"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 xml:space="preserve">环境空气 苯系物的测定 活性炭吸附/二硫化碳解吸-气相色谱法HJ 584-2010 </w:t>
            </w:r>
          </w:p>
        </w:tc>
        <w:tc>
          <w:tcPr>
            <w:tcW w:w="176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气相色谱仪/GC9790</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Ⅱ</w:t>
            </w:r>
            <w:r>
              <w:rPr>
                <w:rFonts w:hint="eastAsia" w:eastAsia="宋体" w:cs="Times New Roman"/>
                <w:color w:val="000000" w:themeColor="text1"/>
                <w:sz w:val="21"/>
                <w:szCs w:val="21"/>
                <w:lang w:val="en-US" w:eastAsia="zh-CN" w:bidi="ar"/>
                <w14:textFill>
                  <w14:solidFill>
                    <w14:schemeClr w14:val="tx1"/>
                  </w14:solidFill>
                </w14:textFill>
              </w:rPr>
              <w:t>/JS-</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bidi="ar"/>
                <w14:textFill>
                  <w14:solidFill>
                    <w14:schemeClr w14:val="tx1"/>
                  </w14:solidFill>
                </w14:textFill>
              </w:rPr>
              <w:t>003</w:t>
            </w:r>
          </w:p>
        </w:tc>
        <w:tc>
          <w:tcPr>
            <w:tcW w:w="1161" w:type="dxa"/>
            <w:vMerge w:val="restart"/>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1.5×10</w:t>
            </w:r>
            <w:r>
              <w:rPr>
                <w:rFonts w:hint="eastAsia"/>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mg/m</w:t>
            </w:r>
            <w:r>
              <w:rPr>
                <w:rFonts w:hint="eastAsia" w:ascii="Times New Roman" w:hAnsi="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甲苯</w:t>
            </w:r>
          </w:p>
        </w:tc>
        <w:tc>
          <w:tcPr>
            <w:tcW w:w="3187"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p>
        </w:tc>
        <w:tc>
          <w:tcPr>
            <w:tcW w:w="1762"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c>
          <w:tcPr>
            <w:tcW w:w="1161"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二甲苯</w:t>
            </w:r>
          </w:p>
        </w:tc>
        <w:tc>
          <w:tcPr>
            <w:tcW w:w="3187"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color w:val="000000" w:themeColor="text1"/>
                <w:sz w:val="21"/>
                <w:szCs w:val="21"/>
                <w14:textFill>
                  <w14:solidFill>
                    <w14:schemeClr w14:val="tx1"/>
                  </w14:solidFill>
                </w14:textFill>
              </w:rPr>
            </w:pPr>
          </w:p>
        </w:tc>
        <w:tc>
          <w:tcPr>
            <w:tcW w:w="1762"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c>
          <w:tcPr>
            <w:tcW w:w="1161"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Merge w:val="continue"/>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color w:val="0000FF"/>
                <w:sz w:val="21"/>
                <w:szCs w:val="21"/>
                <w:lang w:val="en-US" w:eastAsia="zh-CN"/>
              </w:rPr>
            </w:pP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总悬浮颗粒物（TSP）</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环境空气 总悬浮颗粒物的测定 重量法  GB/T 15432-1995</w:t>
            </w:r>
            <w:r>
              <w:rPr>
                <w:rFonts w:hint="eastAsia" w:eastAsia="宋体" w:cs="Times New Roman"/>
                <w:color w:val="000000" w:themeColor="text1"/>
                <w:sz w:val="21"/>
                <w:szCs w:val="21"/>
                <w:vertAlign w:val="baseline"/>
                <w:lang w:val="en-US" w:eastAsia="zh-CN"/>
                <w14:textFill>
                  <w14:solidFill>
                    <w14:schemeClr w14:val="tx1"/>
                  </w14:solidFill>
                </w14:textFill>
              </w:rPr>
              <w:t>及修改单</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bCs/>
                <w:color w:val="000000" w:themeColor="text1"/>
                <w:sz w:val="21"/>
                <w:szCs w:val="21"/>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万分之一电子天平/FA224/JS-004</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0.001 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噪声</w:t>
            </w:r>
          </w:p>
        </w:tc>
        <w:tc>
          <w:tcPr>
            <w:tcW w:w="1323"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厂界噪声</w:t>
            </w:r>
          </w:p>
        </w:tc>
        <w:tc>
          <w:tcPr>
            <w:tcW w:w="3187"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工业企业厂界环境噪声排放标准  GB 12348-2008</w:t>
            </w:r>
          </w:p>
        </w:tc>
        <w:tc>
          <w:tcPr>
            <w:tcW w:w="1762"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多功能声级计AWA5688</w:t>
            </w:r>
            <w:r>
              <w:rPr>
                <w:rFonts w:hint="eastAsia" w:eastAsia="宋体" w:cs="Times New Roman"/>
                <w:color w:val="000000" w:themeColor="text1"/>
                <w:sz w:val="21"/>
                <w:szCs w:val="21"/>
                <w:vertAlign w:val="baseline"/>
                <w:lang w:val="en-US" w:eastAsia="zh-CN"/>
                <w14:textFill>
                  <w14:solidFill>
                    <w14:schemeClr w14:val="tx1"/>
                  </w14:solidFill>
                </w14:textFill>
              </w:rPr>
              <w:t>/JS-056</w:t>
            </w:r>
          </w:p>
        </w:tc>
        <w:tc>
          <w:tcPr>
            <w:tcW w:w="1161" w:type="dxa"/>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bookmarkStart w:id="431" w:name="_Toc941"/>
      <w:r>
        <w:t>8.3 人员资质</w:t>
      </w:r>
      <w:bookmarkEnd w:id="423"/>
      <w:bookmarkEnd w:id="424"/>
      <w:bookmarkEnd w:id="425"/>
      <w:bookmarkEnd w:id="426"/>
      <w:bookmarkEnd w:id="427"/>
      <w:bookmarkEnd w:id="428"/>
      <w:bookmarkEnd w:id="429"/>
      <w:bookmarkEnd w:id="430"/>
      <w:bookmarkEnd w:id="431"/>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检测人员：参加检测人员均经过部门组织的培训、考试合格持证上岗。</w:t>
      </w:r>
    </w:p>
    <w:p>
      <w:pPr>
        <w:pStyle w:val="3"/>
        <w:keepNext/>
        <w:keepLines/>
        <w:pageBreakBefore w:val="0"/>
        <w:widowControl w:val="0"/>
        <w:kinsoku/>
        <w:wordWrap/>
        <w:overflowPunct/>
        <w:topLinePunct w:val="0"/>
        <w:autoSpaceDE/>
        <w:autoSpaceDN/>
        <w:bidi w:val="0"/>
        <w:adjustRightInd/>
        <w:snapToGrid/>
        <w:spacing w:beforeLines="0" w:afterLines="0" w:line="520" w:lineRule="exact"/>
        <w:textAlignment w:val="auto"/>
      </w:pPr>
      <w:bookmarkStart w:id="432" w:name="_Toc21730"/>
      <w:bookmarkStart w:id="433" w:name="_Toc16690"/>
      <w:bookmarkStart w:id="434" w:name="_Toc15574"/>
      <w:bookmarkStart w:id="435" w:name="_Toc6026"/>
      <w:bookmarkStart w:id="436" w:name="_Toc1981"/>
      <w:bookmarkStart w:id="437" w:name="_Toc21424"/>
      <w:bookmarkStart w:id="438" w:name="_Toc21928"/>
      <w:bookmarkStart w:id="439" w:name="_Toc4635"/>
      <w:bookmarkStart w:id="440" w:name="_Toc5007"/>
      <w:bookmarkStart w:id="441" w:name="_Toc7256"/>
      <w:bookmarkStart w:id="442" w:name="_Toc23353"/>
      <w:bookmarkStart w:id="443" w:name="_Toc12951"/>
      <w:r>
        <w:t>8.</w:t>
      </w:r>
      <w:r>
        <w:rPr>
          <w:rFonts w:hint="eastAsia"/>
        </w:rPr>
        <w:t>4</w:t>
      </w:r>
      <w:r>
        <w:t xml:space="preserve"> 气体检测分析过程中的质量保证和质量控制</w:t>
      </w:r>
      <w:bookmarkEnd w:id="432"/>
      <w:bookmarkEnd w:id="433"/>
      <w:bookmarkEnd w:id="434"/>
      <w:bookmarkEnd w:id="435"/>
      <w:bookmarkEnd w:id="436"/>
      <w:bookmarkEnd w:id="437"/>
      <w:bookmarkEnd w:id="438"/>
      <w:bookmarkEnd w:id="439"/>
      <w:bookmarkEnd w:id="440"/>
      <w:bookmarkEnd w:id="441"/>
      <w:bookmarkEnd w:id="442"/>
      <w:bookmarkEnd w:id="443"/>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rPr>
      </w:pPr>
      <w:r>
        <w:rPr>
          <w:rFonts w:cs="Times New Roman"/>
        </w:rPr>
        <w:t>废气检测仪器符合国家有关标准或技术要求，采样和分析过程严格按照《大气污染物无组织排放监测技术导则》（HJ/T 55-2000）、《固定污染源排气中颗粒物测定与气态污染物采样方法》（GB/T 16157-1996）和环境相关行业标准进行。废气检测仪器在采样前进行流量校准。</w:t>
      </w:r>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444" w:name="_Toc13378"/>
      <w:bookmarkStart w:id="445" w:name="_Toc12567"/>
      <w:bookmarkStart w:id="446" w:name="_Toc23423"/>
      <w:bookmarkStart w:id="447" w:name="_Toc15101"/>
      <w:bookmarkStart w:id="448" w:name="_Toc15071"/>
      <w:bookmarkStart w:id="449" w:name="_Toc10479"/>
      <w:bookmarkStart w:id="450" w:name="_Toc21288"/>
      <w:bookmarkStart w:id="451" w:name="_Toc31043"/>
      <w:bookmarkStart w:id="452" w:name="_Toc6190"/>
      <w:bookmarkStart w:id="453" w:name="_Toc12020"/>
      <w:bookmarkStart w:id="454" w:name="_Toc4601"/>
      <w:bookmarkStart w:id="455" w:name="_Toc995"/>
      <w:r>
        <w:t>8.</w:t>
      </w:r>
      <w:r>
        <w:rPr>
          <w:rFonts w:hint="eastAsia"/>
        </w:rPr>
        <w:t>5</w:t>
      </w:r>
      <w:r>
        <w:t xml:space="preserve"> 噪声监测分析过程中的质量保证和质量控制</w:t>
      </w:r>
      <w:bookmarkEnd w:id="444"/>
      <w:bookmarkEnd w:id="445"/>
      <w:bookmarkEnd w:id="446"/>
      <w:bookmarkEnd w:id="447"/>
      <w:bookmarkEnd w:id="448"/>
      <w:bookmarkEnd w:id="449"/>
      <w:bookmarkEnd w:id="450"/>
      <w:bookmarkEnd w:id="451"/>
      <w:bookmarkEnd w:id="452"/>
      <w:bookmarkEnd w:id="453"/>
      <w:bookmarkEnd w:id="454"/>
      <w:bookmarkEnd w:id="455"/>
    </w:p>
    <w:p>
      <w:pPr>
        <w:pageBreakBefore w:val="0"/>
        <w:widowControl w:val="0"/>
        <w:kinsoku/>
        <w:wordWrap/>
        <w:overflowPunct/>
        <w:topLinePunct w:val="0"/>
        <w:autoSpaceDE/>
        <w:autoSpaceDN/>
        <w:bidi w:val="0"/>
        <w:adjustRightInd/>
        <w:snapToGrid/>
        <w:spacing w:line="520" w:lineRule="exact"/>
        <w:ind w:firstLine="480"/>
        <w:jc w:val="both"/>
        <w:textAlignment w:val="auto"/>
        <w:rPr>
          <w:rFonts w:cs="Times New Roman"/>
        </w:rPr>
      </w:pPr>
      <w:bookmarkStart w:id="456" w:name="_Toc25262"/>
      <w:r>
        <w:rPr>
          <w:rFonts w:cs="Times New Roman"/>
        </w:rPr>
        <w:t>声级计使用前后进行校准，其示值偏差符合监测技术规范要求（ΔL≤0.5dB(A)）。噪声检测在无雨、无雪、风速小于5m/s的气象条件下进行，测量时传声器加戴防风罩。</w:t>
      </w:r>
      <w:bookmarkEnd w:id="456"/>
    </w:p>
    <w:p>
      <w:pPr>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cs="Times New Roman" w:eastAsiaTheme="minorEastAsia"/>
          <w:lang w:val="en-US" w:eastAsia="zh-CN"/>
        </w:rPr>
      </w:pPr>
    </w:p>
    <w:p>
      <w:pPr>
        <w:pStyle w:val="2"/>
        <w:pageBreakBefore w:val="0"/>
        <w:widowControl w:val="0"/>
        <w:numPr>
          <w:ilvl w:val="0"/>
          <w:numId w:val="3"/>
        </w:numPr>
        <w:kinsoku/>
        <w:wordWrap/>
        <w:overflowPunct/>
        <w:topLinePunct w:val="0"/>
        <w:autoSpaceDE/>
        <w:autoSpaceDN/>
        <w:bidi w:val="0"/>
        <w:adjustRightInd/>
        <w:snapToGrid/>
        <w:spacing w:beforeLines="0" w:afterLines="0" w:line="520" w:lineRule="exact"/>
        <w:textAlignment w:val="auto"/>
      </w:pPr>
      <w:bookmarkStart w:id="457" w:name="_Toc13603"/>
      <w:bookmarkStart w:id="458" w:name="_Toc25934"/>
      <w:bookmarkStart w:id="459" w:name="_Toc30321"/>
      <w:bookmarkStart w:id="460" w:name="_Toc11890"/>
      <w:bookmarkStart w:id="461" w:name="_Toc3041"/>
      <w:bookmarkStart w:id="462" w:name="_Toc3314"/>
      <w:bookmarkStart w:id="463" w:name="_Toc28190"/>
      <w:bookmarkStart w:id="464" w:name="_Toc25600"/>
      <w:bookmarkStart w:id="465" w:name="_Toc21010"/>
      <w:bookmarkStart w:id="466" w:name="_Toc6655"/>
      <w:bookmarkStart w:id="467" w:name="_Toc18970"/>
      <w:bookmarkStart w:id="468" w:name="_Toc18249"/>
      <w:r>
        <w:t>验收监测结果</w:t>
      </w:r>
      <w:bookmarkEnd w:id="457"/>
      <w:bookmarkEnd w:id="458"/>
      <w:bookmarkEnd w:id="459"/>
      <w:bookmarkEnd w:id="460"/>
      <w:bookmarkEnd w:id="461"/>
      <w:bookmarkEnd w:id="462"/>
      <w:bookmarkEnd w:id="463"/>
      <w:bookmarkEnd w:id="464"/>
      <w:bookmarkEnd w:id="465"/>
      <w:bookmarkEnd w:id="466"/>
      <w:bookmarkEnd w:id="467"/>
      <w:bookmarkEnd w:id="468"/>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469" w:name="_Toc30829"/>
      <w:bookmarkStart w:id="470" w:name="_Toc7685"/>
      <w:bookmarkStart w:id="471" w:name="_Toc21087"/>
      <w:bookmarkStart w:id="472" w:name="_Toc6587"/>
      <w:bookmarkStart w:id="473" w:name="_Toc17215"/>
      <w:bookmarkStart w:id="474" w:name="_Toc22534"/>
      <w:bookmarkStart w:id="475" w:name="_Toc15307"/>
      <w:bookmarkStart w:id="476" w:name="_Toc3490"/>
      <w:bookmarkStart w:id="477" w:name="_Toc310"/>
      <w:bookmarkStart w:id="478" w:name="_Toc4262"/>
      <w:bookmarkStart w:id="479" w:name="_Toc16576"/>
      <w:bookmarkStart w:id="480" w:name="_Toc32722"/>
      <w:r>
        <w:t>9.1 生产工况</w:t>
      </w:r>
      <w:bookmarkEnd w:id="469"/>
      <w:bookmarkEnd w:id="470"/>
      <w:bookmarkEnd w:id="471"/>
      <w:bookmarkEnd w:id="472"/>
      <w:bookmarkEnd w:id="473"/>
      <w:bookmarkEnd w:id="474"/>
      <w:bookmarkEnd w:id="475"/>
      <w:bookmarkEnd w:id="476"/>
      <w:bookmarkEnd w:id="477"/>
      <w:bookmarkEnd w:id="478"/>
      <w:bookmarkEnd w:id="479"/>
      <w:bookmarkEnd w:id="480"/>
    </w:p>
    <w:p>
      <w:pPr>
        <w:pageBreakBefore w:val="0"/>
        <w:widowControl w:val="0"/>
        <w:kinsoku/>
        <w:wordWrap/>
        <w:overflowPunct/>
        <w:topLinePunct w:val="0"/>
        <w:autoSpaceDE/>
        <w:autoSpaceDN/>
        <w:bidi w:val="0"/>
        <w:adjustRightInd/>
        <w:snapToGrid/>
        <w:spacing w:line="520" w:lineRule="exact"/>
        <w:ind w:firstLine="480"/>
        <w:jc w:val="both"/>
        <w:textAlignment w:val="auto"/>
        <w:rPr>
          <w:rFonts w:cs="Times New Roman"/>
        </w:rPr>
      </w:pPr>
      <w:r>
        <w:rPr>
          <w:rFonts w:cs="Times New Roman"/>
        </w:rPr>
        <w:t>本项目验收监测期间生产工况为</w:t>
      </w:r>
      <w:r>
        <w:rPr>
          <w:rFonts w:hint="eastAsia" w:cs="Times New Roman"/>
        </w:rPr>
        <w:t>80</w:t>
      </w:r>
      <w:r>
        <w:rPr>
          <w:rFonts w:cs="Times New Roman"/>
        </w:rPr>
        <w:t>%，满足国家对建设项目竣工环境保护验收监测期间生产负荷达到额定生产负荷75%以上的要求。监测期间各环保设施运行正常。</w:t>
      </w:r>
    </w:p>
    <w:p>
      <w:pPr>
        <w:pStyle w:val="3"/>
        <w:pageBreakBefore w:val="0"/>
        <w:widowControl w:val="0"/>
        <w:kinsoku/>
        <w:wordWrap/>
        <w:overflowPunct/>
        <w:topLinePunct w:val="0"/>
        <w:autoSpaceDE/>
        <w:autoSpaceDN/>
        <w:bidi w:val="0"/>
        <w:adjustRightInd/>
        <w:snapToGrid/>
        <w:spacing w:beforeLines="0" w:afterLines="0" w:line="520" w:lineRule="exact"/>
        <w:textAlignment w:val="auto"/>
      </w:pPr>
      <w:bookmarkStart w:id="481" w:name="_Toc32550"/>
      <w:bookmarkStart w:id="482" w:name="_Toc25307"/>
      <w:bookmarkStart w:id="483" w:name="_Toc25804"/>
      <w:bookmarkStart w:id="484" w:name="_Toc29310"/>
      <w:bookmarkStart w:id="485" w:name="_Toc28952"/>
      <w:bookmarkStart w:id="486" w:name="_Toc29151"/>
      <w:bookmarkStart w:id="487" w:name="_Toc21007"/>
      <w:bookmarkStart w:id="488" w:name="_Toc21188"/>
      <w:bookmarkStart w:id="489" w:name="_Toc3003"/>
      <w:bookmarkStart w:id="490" w:name="_Toc22989"/>
      <w:bookmarkStart w:id="491" w:name="_Toc925"/>
      <w:bookmarkStart w:id="492" w:name="_Toc26773"/>
      <w:r>
        <w:t>9.2 环境保护设施调试效果</w:t>
      </w:r>
      <w:bookmarkEnd w:id="481"/>
      <w:bookmarkEnd w:id="482"/>
      <w:bookmarkEnd w:id="483"/>
      <w:bookmarkEnd w:id="484"/>
      <w:bookmarkEnd w:id="485"/>
      <w:bookmarkEnd w:id="486"/>
      <w:bookmarkEnd w:id="487"/>
      <w:bookmarkEnd w:id="488"/>
      <w:bookmarkEnd w:id="489"/>
      <w:bookmarkEnd w:id="490"/>
      <w:bookmarkEnd w:id="491"/>
      <w:bookmarkEnd w:id="492"/>
    </w:p>
    <w:p>
      <w:pPr>
        <w:pStyle w:val="4"/>
        <w:pageBreakBefore w:val="0"/>
        <w:widowControl w:val="0"/>
        <w:kinsoku/>
        <w:wordWrap/>
        <w:overflowPunct/>
        <w:topLinePunct w:val="0"/>
        <w:autoSpaceDE/>
        <w:autoSpaceDN/>
        <w:bidi w:val="0"/>
        <w:adjustRightInd/>
        <w:snapToGrid/>
        <w:spacing w:line="520" w:lineRule="exact"/>
        <w:textAlignment w:val="auto"/>
        <w:rPr>
          <w:rFonts w:cs="Times New Roman"/>
          <w:color w:val="000000" w:themeColor="text1"/>
          <w:szCs w:val="28"/>
          <w14:textFill>
            <w14:solidFill>
              <w14:schemeClr w14:val="tx1"/>
            </w14:solidFill>
          </w14:textFill>
        </w:rPr>
      </w:pPr>
      <w:bookmarkStart w:id="493" w:name="_Toc28998"/>
      <w:bookmarkStart w:id="494" w:name="_Toc31586"/>
      <w:bookmarkStart w:id="495" w:name="_Toc11241"/>
      <w:bookmarkStart w:id="496" w:name="_Toc26083"/>
      <w:bookmarkStart w:id="497" w:name="_Toc28336"/>
      <w:bookmarkStart w:id="498" w:name="_Toc32766"/>
      <w:bookmarkStart w:id="499" w:name="_Toc3243"/>
      <w:bookmarkStart w:id="500" w:name="_Toc2603"/>
      <w:bookmarkStart w:id="501" w:name="_Toc2788"/>
      <w:bookmarkStart w:id="502" w:name="_Toc24078"/>
      <w:bookmarkStart w:id="503" w:name="_Toc7729"/>
      <w:r>
        <w:rPr>
          <w:rFonts w:cs="Times New Roman"/>
          <w:color w:val="000000" w:themeColor="text1"/>
          <w:szCs w:val="28"/>
          <w14:textFill>
            <w14:solidFill>
              <w14:schemeClr w14:val="tx1"/>
            </w14:solidFill>
          </w14:textFill>
        </w:rPr>
        <w:t>9.2.1 污染达标排放监测结果</w:t>
      </w:r>
      <w:bookmarkEnd w:id="493"/>
      <w:bookmarkEnd w:id="494"/>
      <w:bookmarkEnd w:id="495"/>
      <w:bookmarkEnd w:id="496"/>
      <w:bookmarkEnd w:id="497"/>
      <w:bookmarkEnd w:id="498"/>
      <w:bookmarkEnd w:id="499"/>
      <w:bookmarkEnd w:id="500"/>
      <w:bookmarkEnd w:id="501"/>
      <w:bookmarkEnd w:id="502"/>
      <w:bookmarkEnd w:id="503"/>
    </w:p>
    <w:p>
      <w:pPr>
        <w:pageBreakBefore w:val="0"/>
        <w:widowControl w:val="0"/>
        <w:kinsoku/>
        <w:wordWrap/>
        <w:overflowPunct/>
        <w:topLinePunct w:val="0"/>
        <w:autoSpaceDE/>
        <w:autoSpaceDN/>
        <w:bidi w:val="0"/>
        <w:adjustRightInd/>
        <w:snapToGrid/>
        <w:spacing w:line="520" w:lineRule="exact"/>
        <w:ind w:firstLine="0" w:firstLineChars="0"/>
        <w:textAlignment w:val="auto"/>
        <w:rPr>
          <w:rFonts w:cs="Times New Roman"/>
          <w:b/>
          <w:bCs/>
          <w:color w:val="auto"/>
          <w:sz w:val="28"/>
          <w:szCs w:val="28"/>
        </w:rPr>
      </w:pPr>
      <w:r>
        <w:rPr>
          <w:rFonts w:cs="Times New Roman"/>
          <w:b/>
          <w:bCs/>
          <w:color w:val="auto"/>
          <w:sz w:val="28"/>
          <w:szCs w:val="28"/>
        </w:rPr>
        <w:t>9.2.1.1 废水</w:t>
      </w:r>
    </w:p>
    <w:p>
      <w:pPr>
        <w:pageBreakBefore w:val="0"/>
        <w:widowControl w:val="0"/>
        <w:kinsoku/>
        <w:wordWrap/>
        <w:overflowPunct/>
        <w:topLinePunct w:val="0"/>
        <w:autoSpaceDE/>
        <w:autoSpaceDN/>
        <w:bidi w:val="0"/>
        <w:adjustRightInd/>
        <w:snapToGrid/>
        <w:spacing w:line="520" w:lineRule="exact"/>
        <w:ind w:firstLine="480"/>
        <w:textAlignment w:val="auto"/>
        <w:rPr>
          <w:rFonts w:cs="Times New Roman"/>
          <w:color w:val="auto"/>
        </w:rPr>
      </w:pPr>
      <w:r>
        <w:rPr>
          <w:rFonts w:hint="eastAsia" w:cs="Times New Roman"/>
          <w:color w:val="auto"/>
          <w:lang w:val="en-US" w:eastAsia="zh-CN"/>
        </w:rPr>
        <w:t>本</w:t>
      </w:r>
      <w:r>
        <w:rPr>
          <w:rFonts w:cs="Times New Roman"/>
          <w:color w:val="auto"/>
        </w:rPr>
        <w:t>项目</w:t>
      </w:r>
      <w:r>
        <w:rPr>
          <w:rFonts w:hint="eastAsia" w:cs="Times New Roman"/>
          <w:color w:val="auto"/>
          <w:lang w:val="en-US" w:eastAsia="zh-CN"/>
        </w:rPr>
        <w:t>废水排放口</w:t>
      </w:r>
      <w:r>
        <w:rPr>
          <w:rFonts w:cs="Times New Roman"/>
          <w:color w:val="auto"/>
        </w:rPr>
        <w:t>的监测结果</w:t>
      </w:r>
      <w:r>
        <w:rPr>
          <w:rFonts w:hint="eastAsia" w:cs="Times New Roman"/>
          <w:color w:val="auto"/>
        </w:rPr>
        <w:t>见下表。</w:t>
      </w:r>
    </w:p>
    <w:p>
      <w:pPr>
        <w:pageBreakBefore w:val="0"/>
        <w:widowControl w:val="0"/>
        <w:kinsoku/>
        <w:wordWrap/>
        <w:overflowPunct/>
        <w:topLinePunct w:val="0"/>
        <w:autoSpaceDE/>
        <w:autoSpaceDN/>
        <w:bidi w:val="0"/>
        <w:adjustRightInd/>
        <w:snapToGrid/>
        <w:spacing w:line="520" w:lineRule="exact"/>
        <w:ind w:firstLine="482"/>
        <w:jc w:val="center"/>
        <w:textAlignment w:val="auto"/>
        <w:rPr>
          <w:rFonts w:cs="Times New Roman"/>
          <w:color w:val="auto"/>
        </w:rPr>
      </w:pPr>
      <w:r>
        <w:rPr>
          <w:rFonts w:cs="Times New Roman"/>
          <w:b/>
          <w:bCs/>
          <w:color w:val="auto"/>
        </w:rPr>
        <w:t>表9-</w:t>
      </w:r>
      <w:r>
        <w:rPr>
          <w:rFonts w:hint="eastAsia" w:cs="Times New Roman"/>
          <w:b/>
          <w:bCs/>
          <w:color w:val="auto"/>
          <w:lang w:val="en-US" w:eastAsia="zh-CN"/>
        </w:rPr>
        <w:t>1</w:t>
      </w:r>
      <w:r>
        <w:rPr>
          <w:rFonts w:cs="Times New Roman"/>
          <w:color w:val="auto"/>
        </w:rPr>
        <w:t xml:space="preserve">  </w:t>
      </w:r>
      <w:r>
        <w:rPr>
          <w:rFonts w:cs="Times New Roman"/>
          <w:b/>
          <w:bCs/>
          <w:color w:val="auto"/>
        </w:rPr>
        <w:t xml:space="preserve"> 本项目</w:t>
      </w:r>
      <w:r>
        <w:rPr>
          <w:rFonts w:hint="eastAsia" w:cs="Times New Roman"/>
          <w:b/>
          <w:bCs/>
          <w:color w:val="auto"/>
          <w:lang w:val="en-US" w:eastAsia="zh-CN"/>
        </w:rPr>
        <w:t>废水</w:t>
      </w:r>
      <w:r>
        <w:rPr>
          <w:rFonts w:cs="Times New Roman"/>
          <w:b/>
          <w:bCs/>
          <w:color w:val="auto"/>
        </w:rPr>
        <w:t>监测点位监测值一览表</w:t>
      </w:r>
    </w:p>
    <w:tbl>
      <w:tblPr>
        <w:tblStyle w:val="21"/>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813"/>
        <w:gridCol w:w="681"/>
        <w:gridCol w:w="855"/>
        <w:gridCol w:w="903"/>
        <w:gridCol w:w="813"/>
        <w:gridCol w:w="813"/>
        <w:gridCol w:w="813"/>
        <w:gridCol w:w="813"/>
        <w:gridCol w:w="813"/>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点位</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时间</w:t>
            </w: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频次</w:t>
            </w:r>
          </w:p>
        </w:tc>
        <w:tc>
          <w:tcPr>
            <w:tcW w:w="85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eastAsia" w:eastAsia="宋体" w:cs="Times New Roman"/>
                <w:b/>
                <w:bCs/>
                <w:color w:val="auto"/>
                <w:sz w:val="18"/>
                <w:szCs w:val="18"/>
                <w:vertAlign w:val="baseline"/>
                <w:lang w:val="en-US" w:eastAsia="zh-CN"/>
              </w:rPr>
              <w:t>流量</w:t>
            </w:r>
          </w:p>
        </w:tc>
        <w:tc>
          <w:tcPr>
            <w:tcW w:w="90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pH</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(无量纲)</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悬浮物</w:t>
            </w: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化学需氧量</w:t>
            </w: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b/>
                <w:bCs/>
                <w:color w:val="auto"/>
                <w:sz w:val="18"/>
                <w:szCs w:val="18"/>
                <w:vertAlign w:val="baseline"/>
                <w:lang w:val="en-US" w:eastAsia="zh-CN"/>
              </w:rPr>
            </w:pPr>
            <w:r>
              <w:rPr>
                <w:rFonts w:hint="eastAsia" w:eastAsia="宋体" w:cs="Times New Roman"/>
                <w:b/>
                <w:bCs/>
                <w:color w:val="auto"/>
                <w:sz w:val="18"/>
                <w:szCs w:val="18"/>
                <w:vertAlign w:val="baseline"/>
                <w:lang w:val="en-US" w:eastAsia="zh-CN"/>
              </w:rPr>
              <w:t>BOD</w:t>
            </w:r>
            <w:r>
              <w:rPr>
                <w:rFonts w:hint="eastAsia" w:eastAsia="宋体" w:cs="Times New Roman"/>
                <w:b/>
                <w:bCs/>
                <w:color w:val="auto"/>
                <w:sz w:val="18"/>
                <w:szCs w:val="18"/>
                <w:vertAlign w:val="subscript"/>
                <w:lang w:val="en-US" w:eastAsia="zh-CN"/>
              </w:rPr>
              <w:t>5</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氨氮</w:t>
            </w:r>
            <w:r>
              <w:rPr>
                <w:rFonts w:hint="default" w:ascii="Times New Roman" w:hAnsi="Times New Roman" w:eastAsia="宋体" w:cs="Times New Roman"/>
                <w:b/>
                <w:bCs/>
                <w:color w:val="auto"/>
                <w:sz w:val="18"/>
                <w:szCs w:val="18"/>
                <w:vertAlign w:val="baseline"/>
                <w:lang w:val="en-US" w:eastAsia="zh-CN"/>
              </w:rPr>
              <w:t>(mg/L)</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18"/>
                <w:szCs w:val="18"/>
                <w:vertAlign w:val="baseline"/>
                <w:lang w:val="en-US" w:eastAsia="zh-CN" w:bidi="ar-SA"/>
              </w:rPr>
            </w:pPr>
            <w:r>
              <w:rPr>
                <w:rFonts w:hint="default" w:ascii="Times New Roman" w:hAnsi="Times New Roman" w:eastAsia="宋体" w:cs="Times New Roman"/>
                <w:b/>
                <w:bCs/>
                <w:color w:val="auto"/>
                <w:sz w:val="18"/>
                <w:szCs w:val="18"/>
                <w:lang w:bidi="ar"/>
              </w:rPr>
              <w:t>总磷</w:t>
            </w:r>
            <w:r>
              <w:rPr>
                <w:rFonts w:hint="default" w:ascii="Times New Roman" w:hAnsi="Times New Roman" w:eastAsia="宋体" w:cs="Times New Roman"/>
                <w:b/>
                <w:bCs/>
                <w:color w:val="auto"/>
                <w:sz w:val="18"/>
                <w:szCs w:val="18"/>
                <w:vertAlign w:val="baseline"/>
                <w:lang w:val="en-US" w:eastAsia="zh-CN"/>
              </w:rPr>
              <w:t>(mg/L)</w:t>
            </w:r>
          </w:p>
        </w:tc>
        <w:tc>
          <w:tcPr>
            <w:tcW w:w="8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18"/>
                <w:szCs w:val="18"/>
                <w:lang w:val="en-US" w:eastAsia="zh-CN" w:bidi="ar"/>
              </w:rPr>
            </w:pPr>
            <w:r>
              <w:rPr>
                <w:rFonts w:hint="eastAsia" w:eastAsia="宋体" w:cs="Times New Roman"/>
                <w:b/>
                <w:bCs/>
                <w:color w:val="auto"/>
                <w:sz w:val="18"/>
                <w:szCs w:val="18"/>
                <w:lang w:val="en-US" w:eastAsia="zh-CN" w:bidi="ar"/>
              </w:rPr>
              <w:t>总氮</w:t>
            </w:r>
            <w:r>
              <w:rPr>
                <w:rFonts w:hint="default" w:ascii="Times New Roman" w:hAnsi="Times New Roman" w:eastAsia="宋体" w:cs="Times New Roman"/>
                <w:b/>
                <w:bCs/>
                <w:color w:val="auto"/>
                <w:sz w:val="18"/>
                <w:szCs w:val="18"/>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厂区污水总排口</w:t>
            </w:r>
          </w:p>
        </w:tc>
        <w:tc>
          <w:tcPr>
            <w:tcW w:w="813"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18"/>
                <w:szCs w:val="18"/>
                <w:lang w:val="en-US" w:eastAsia="zh-CN"/>
              </w:rPr>
            </w:pPr>
            <w:r>
              <w:rPr>
                <w:rFonts w:hint="eastAsia" w:cs="Times New Roman"/>
                <w:color w:val="auto"/>
                <w:sz w:val="18"/>
                <w:szCs w:val="18"/>
                <w:lang w:val="en-US" w:eastAsia="zh-CN"/>
              </w:rPr>
              <w:t>2023.</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lang w:val="en-US" w:eastAsia="zh-CN"/>
              </w:rPr>
              <w:t>03.27</w:t>
            </w: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1</w:t>
            </w:r>
          </w:p>
        </w:tc>
        <w:tc>
          <w:tcPr>
            <w:tcW w:w="85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2.12</w:t>
            </w:r>
          </w:p>
        </w:tc>
        <w:tc>
          <w:tcPr>
            <w:tcW w:w="90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7.5</w:t>
            </w:r>
          </w:p>
        </w:tc>
        <w:tc>
          <w:tcPr>
            <w:tcW w:w="81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35</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143</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54.7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1.14</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2</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2.07</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138</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48.6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1.06</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cs="Times New Roman"/>
                <w:color w:val="auto"/>
                <w:sz w:val="18"/>
                <w:szCs w:val="18"/>
                <w:vertAlign w:val="baseline"/>
                <w:lang w:val="en-US" w:eastAsia="zh-CN"/>
              </w:rPr>
              <w:t>3</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2.10</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38</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157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52.4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3.32</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1.11</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p>
        </w:tc>
        <w:tc>
          <w:tcPr>
            <w:tcW w:w="813"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18"/>
                <w:szCs w:val="18"/>
                <w:lang w:val="en-US" w:eastAsia="zh-CN"/>
              </w:rPr>
            </w:pPr>
            <w:r>
              <w:rPr>
                <w:rFonts w:hint="eastAsia" w:cs="Times New Roman"/>
                <w:color w:val="auto"/>
                <w:sz w:val="18"/>
                <w:szCs w:val="18"/>
                <w:lang w:val="en-US" w:eastAsia="zh-CN"/>
              </w:rPr>
              <w:t>2023.</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lang w:val="en-US" w:eastAsia="zh-CN"/>
              </w:rPr>
              <w:t>03.28</w:t>
            </w: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1</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2.06</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54.6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3.42</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1.03</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rPr>
              <w:t>2</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2.13</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145</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49.3</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3.35</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1.12</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813"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18"/>
                <w:szCs w:val="18"/>
                <w:vertAlign w:val="baseline"/>
                <w:lang w:val="en-US" w:eastAsia="zh-CN"/>
              </w:rPr>
            </w:pPr>
          </w:p>
        </w:tc>
        <w:tc>
          <w:tcPr>
            <w:tcW w:w="68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cs="Times New Roman"/>
                <w:color w:val="auto"/>
                <w:sz w:val="18"/>
                <w:szCs w:val="18"/>
                <w:vertAlign w:val="baseline"/>
                <w:lang w:val="en-US" w:eastAsia="zh-CN"/>
              </w:rPr>
              <w:t>3</w:t>
            </w:r>
          </w:p>
        </w:tc>
        <w:tc>
          <w:tcPr>
            <w:tcW w:w="85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2.02</w:t>
            </w:r>
          </w:p>
        </w:tc>
        <w:tc>
          <w:tcPr>
            <w:tcW w:w="90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7.6</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34</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152</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52.7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3.37</w:t>
            </w:r>
          </w:p>
        </w:tc>
        <w:tc>
          <w:tcPr>
            <w:tcW w:w="81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vertAlign w:val="baseline"/>
                <w:lang w:val="en-US" w:eastAsia="zh-CN" w:bidi="ar-SA"/>
              </w:rPr>
            </w:pPr>
            <w:r>
              <w:rPr>
                <w:rFonts w:hint="eastAsia" w:eastAsia="宋体" w:cs="Times New Roman"/>
                <w:color w:val="auto"/>
                <w:kern w:val="2"/>
                <w:sz w:val="18"/>
                <w:szCs w:val="18"/>
                <w:vertAlign w:val="baseline"/>
                <w:lang w:val="en-US" w:eastAsia="zh-CN" w:bidi="ar-SA"/>
              </w:rPr>
              <w:t>1.07</w:t>
            </w:r>
          </w:p>
        </w:tc>
        <w:tc>
          <w:tcPr>
            <w:tcW w:w="8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4.79</w:t>
            </w:r>
          </w:p>
        </w:tc>
      </w:tr>
    </w:tbl>
    <w:p>
      <w:pPr>
        <w:ind w:firstLine="480"/>
        <w:jc w:val="both"/>
        <w:rPr>
          <w:rFonts w:cs="Times New Roman"/>
          <w:bCs/>
          <w:color w:val="0000FF"/>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ind w:firstLine="0" w:firstLineChars="0"/>
        <w:rPr>
          <w:rFonts w:cs="Times New Roman"/>
          <w:b/>
          <w:bCs/>
          <w:color w:val="auto"/>
          <w:sz w:val="28"/>
          <w:szCs w:val="28"/>
        </w:rPr>
      </w:pPr>
      <w:r>
        <w:rPr>
          <w:rFonts w:cs="Times New Roman"/>
          <w:b/>
          <w:bCs/>
          <w:color w:val="auto"/>
          <w:sz w:val="28"/>
          <w:szCs w:val="28"/>
        </w:rPr>
        <w:t>9.2.1.2 废气</w:t>
      </w:r>
    </w:p>
    <w:p>
      <w:pPr>
        <w:ind w:firstLine="480"/>
        <w:rPr>
          <w:rFonts w:cs="Times New Roman"/>
          <w:color w:val="auto"/>
        </w:rPr>
      </w:pPr>
      <w:r>
        <w:rPr>
          <w:rFonts w:cs="Times New Roman"/>
          <w:color w:val="auto"/>
        </w:rPr>
        <w:t>项目有组织监测点位的监测结果</w:t>
      </w:r>
      <w:r>
        <w:rPr>
          <w:rFonts w:hint="eastAsia" w:cs="Times New Roman"/>
          <w:color w:val="auto"/>
        </w:rPr>
        <w:t>见下表。</w:t>
      </w:r>
    </w:p>
    <w:p>
      <w:pPr>
        <w:ind w:firstLine="482"/>
        <w:jc w:val="center"/>
        <w:rPr>
          <w:rFonts w:cs="Times New Roman"/>
          <w:color w:val="auto"/>
        </w:rPr>
      </w:pPr>
      <w:r>
        <w:rPr>
          <w:rFonts w:cs="Times New Roman"/>
          <w:b/>
          <w:bCs/>
          <w:color w:val="auto"/>
        </w:rPr>
        <w:t>表9-</w:t>
      </w:r>
      <w:r>
        <w:rPr>
          <w:rFonts w:hint="eastAsia" w:cs="Times New Roman"/>
          <w:b/>
          <w:bCs/>
          <w:color w:val="auto"/>
          <w:lang w:val="en-US" w:eastAsia="zh-CN"/>
        </w:rPr>
        <w:t>2</w:t>
      </w:r>
      <w:r>
        <w:rPr>
          <w:rFonts w:cs="Times New Roman"/>
          <w:color w:val="auto"/>
        </w:rPr>
        <w:t xml:space="preserve">  </w:t>
      </w:r>
      <w:r>
        <w:rPr>
          <w:rFonts w:cs="Times New Roman"/>
          <w:b/>
          <w:bCs/>
          <w:color w:val="auto"/>
        </w:rPr>
        <w:t xml:space="preserve"> 本项目有组织监测点位监测值一览表</w:t>
      </w:r>
    </w:p>
    <w:tbl>
      <w:tblPr>
        <w:tblStyle w:val="2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8"/>
        <w:gridCol w:w="1237"/>
        <w:gridCol w:w="959"/>
        <w:gridCol w:w="1067"/>
        <w:gridCol w:w="995"/>
        <w:gridCol w:w="26"/>
        <w:gridCol w:w="969"/>
        <w:gridCol w:w="1001"/>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端梁涂装房DA001进口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145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147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133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端梁涂装房DA001出口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4.53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5.22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4.85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4.47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5.29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4.86</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b/>
                <w:bCs/>
                <w:color w:val="auto"/>
                <w:sz w:val="21"/>
                <w:szCs w:val="21"/>
                <w:vertAlign w:val="baseline"/>
                <w:lang w:val="en-US" w:eastAsia="zh-CN"/>
              </w:rPr>
              <w:t>苯</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p>
        </w:tc>
        <w:tc>
          <w:tcPr>
            <w:tcW w:w="995"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kern w:val="2"/>
                <w:sz w:val="18"/>
                <w:szCs w:val="18"/>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95"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端梁涂装房DA001进口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0.142</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7.64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6.57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8.42</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7.64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7.18</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8.26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7.74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端梁涂装房DA001出口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18"/>
                <w:szCs w:val="18"/>
                <w:u w:val="none"/>
                <w:lang w:val="en-US" w:eastAsia="zh-CN" w:bidi="ar"/>
              </w:rPr>
              <w:t>1.66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0.341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18"/>
                <w:szCs w:val="18"/>
                <w:u w:val="none"/>
                <w:lang w:val="en-US" w:eastAsia="zh-CN" w:bidi="ar"/>
              </w:rPr>
              <w:t>1.94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18"/>
                <w:szCs w:val="18"/>
                <w:u w:val="none"/>
                <w:lang w:val="en-US" w:eastAsia="zh-CN" w:bidi="ar"/>
              </w:rPr>
              <w:t>1.90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0.279</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1.63</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0.335</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1.91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0.338</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1.96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0000FF"/>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颗粒物</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单梁涂装房DA002进口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323</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23.7</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135</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317</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23.5</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300</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21.3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132</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321</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23.6</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315</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23.4</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307</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22.2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128</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单梁涂装房DA002出口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5.3</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0.411</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5.37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4.8</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0.376</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5.43</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7.62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4.5</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0.343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5.35</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5.1</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0.398</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5.57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5.3</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0.415</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5.46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4.7</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0.363</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5.41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eastAsia="宋体" w:cs="Times New Roman"/>
                <w:b/>
                <w:bCs/>
                <w:i w:val="0"/>
                <w:color w:val="auto"/>
                <w:kern w:val="0"/>
                <w:sz w:val="21"/>
                <w:szCs w:val="21"/>
                <w:u w:val="none"/>
                <w:lang w:val="en-US" w:eastAsia="zh-CN" w:bidi="ar"/>
              </w:rPr>
              <w:t>苯</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单梁涂装房DA002进口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8.73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9.21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8.86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0.164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1.19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8.58</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0.163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auto"/>
                <w:kern w:val="2"/>
                <w:sz w:val="21"/>
                <w:szCs w:val="21"/>
                <w:vertAlign w:val="baseline"/>
                <w:lang w:val="en-US" w:eastAsia="zh-CN" w:bidi="ar-SA"/>
              </w:rPr>
            </w:pPr>
            <w:r>
              <w:rPr>
                <w:rFonts w:hint="eastAsia" w:eastAsia="宋体" w:cs="Times New Roman"/>
                <w:i w:val="0"/>
                <w:color w:val="auto"/>
                <w:kern w:val="0"/>
                <w:sz w:val="18"/>
                <w:szCs w:val="18"/>
                <w:u w:val="none"/>
                <w:lang w:val="en-US" w:eastAsia="zh-CN" w:bidi="ar"/>
              </w:rPr>
              <w:t>1.21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9.41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8.94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单梁涂装房DA002出口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0.386</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3.00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0.393</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3.08</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7.62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0.431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3.28</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0.427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3.33</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0.399</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3.12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0.434</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3.35</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b/>
                <w:bCs/>
                <w:color w:val="auto"/>
                <w:sz w:val="21"/>
                <w:szCs w:val="21"/>
                <w:vertAlign w:val="baseline"/>
                <w:lang w:val="en-US" w:eastAsia="zh-CN"/>
              </w:rPr>
            </w:pPr>
            <w:r>
              <w:rPr>
                <w:rFonts w:hint="eastAsia" w:eastAsia="宋体" w:cs="Times New Roman"/>
                <w:b/>
                <w:bCs/>
                <w:i w:val="0"/>
                <w:color w:val="auto"/>
                <w:kern w:val="0"/>
                <w:sz w:val="21"/>
                <w:szCs w:val="21"/>
                <w:u w:val="none"/>
                <w:lang w:val="en-US" w:eastAsia="zh-CN" w:bidi="ar"/>
              </w:rPr>
              <w:t>非甲烷总烃</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cs="Times New Roman"/>
                <w:b/>
                <w:bCs/>
                <w:color w:val="auto"/>
                <w:sz w:val="21"/>
                <w:szCs w:val="21"/>
                <w:vertAlign w:val="baseline"/>
                <w:lang w:val="en-US" w:eastAsia="zh-CN"/>
              </w:rPr>
            </w:pPr>
            <w:r>
              <w:rPr>
                <w:rFonts w:hint="eastAsia" w:eastAsia="宋体" w:cs="Times New Roman"/>
                <w:b/>
                <w:bCs/>
                <w:i w:val="0"/>
                <w:color w:val="auto"/>
                <w:kern w:val="0"/>
                <w:sz w:val="21"/>
                <w:szCs w:val="21"/>
                <w:u w:val="none"/>
                <w:lang w:val="en-US" w:eastAsia="zh-CN" w:bidi="ar"/>
              </w:rPr>
              <w:t>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95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06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1.36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0.147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18"/>
                <w:szCs w:val="18"/>
                <w:u w:val="none"/>
                <w:lang w:val="en-US" w:eastAsia="zh-CN" w:bidi="ar"/>
              </w:rPr>
              <w:t>1.94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111</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0.135</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18"/>
                <w:szCs w:val="18"/>
                <w:u w:val="none"/>
                <w:lang w:val="en-US" w:eastAsia="zh-CN" w:bidi="ar"/>
              </w:rPr>
              <w:t>1.90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1.48</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0.131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18"/>
                <w:szCs w:val="18"/>
                <w:u w:val="none"/>
                <w:lang w:val="en-US" w:eastAsia="zh-CN" w:bidi="ar"/>
              </w:rPr>
              <w:t>1.81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105</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1.49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1.56</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110</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1.52</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0000FF"/>
                <w:kern w:val="0"/>
                <w:sz w:val="21"/>
                <w:szCs w:val="21"/>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5.88</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0.103</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6.16</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0.104</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5.93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0.108</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6.24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0.110</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5.95</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0.108</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5.94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0.107</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color w:val="auto"/>
                <w:sz w:val="21"/>
                <w:szCs w:val="21"/>
                <w:vertAlign w:val="baseline"/>
                <w:lang w:val="en-US" w:eastAsia="zh-CN"/>
              </w:rPr>
            </w:pPr>
            <w:r>
              <w:rPr>
                <w:rFonts w:hint="eastAsia" w:cs="Times New Roman"/>
                <w:color w:val="auto"/>
                <w:kern w:val="2"/>
                <w:sz w:val="21"/>
                <w:szCs w:val="21"/>
                <w:vertAlign w:val="baseline"/>
                <w:lang w:val="en-US" w:eastAsia="zh-CN" w:bidi="ar-SA"/>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cs="Times New Roman"/>
                <w:color w:val="auto"/>
                <w:kern w:val="2"/>
                <w:sz w:val="21"/>
                <w:szCs w:val="21"/>
                <w:vertAlign w:val="baseline"/>
                <w:lang w:val="en-US" w:eastAsia="zh-CN" w:bidi="ar-SA"/>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b/>
                <w:bCs/>
                <w:i w:val="0"/>
                <w:color w:val="auto"/>
                <w:kern w:val="0"/>
                <w:sz w:val="21"/>
                <w:szCs w:val="21"/>
                <w:u w:val="none"/>
                <w:lang w:val="en-US" w:eastAsia="zh-CN" w:bidi="ar"/>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35.3</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34.7</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36.0</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35.6</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630" w:firstLineChars="300"/>
              <w:jc w:val="both"/>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35.1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36.4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小件涂装房DA003出口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18"/>
                <w:szCs w:val="18"/>
                <w:u w:val="none"/>
                <w:lang w:val="en-US" w:eastAsia="zh-CN" w:bidi="ar"/>
              </w:rPr>
            </w:pPr>
            <w:r>
              <w:rPr>
                <w:rFonts w:hint="eastAsia" w:cs="Times New Roman"/>
                <w:color w:val="auto"/>
                <w:sz w:val="21"/>
                <w:szCs w:val="21"/>
                <w:vertAlign w:val="baseline"/>
                <w:lang w:val="en-US" w:eastAsia="zh-CN"/>
              </w:rPr>
              <w:t>4.14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7.24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4.08</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6.90</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4.11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7.52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4.11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7.56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4.07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7.16</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4.10</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7.42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b/>
                <w:bCs/>
                <w:i w:val="0"/>
                <w:color w:val="auto"/>
                <w:kern w:val="0"/>
                <w:sz w:val="21"/>
                <w:szCs w:val="21"/>
                <w:u w:val="none"/>
                <w:lang w:val="en-US" w:eastAsia="zh-CN" w:bidi="ar"/>
              </w:rPr>
              <w:t>颗粒物</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b/>
                <w:bCs/>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18"/>
                <w:szCs w:val="18"/>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523</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26.9</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109</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497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25.9</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111</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564</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28.8</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103</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583</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30.1</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110</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517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27.0</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107</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557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29.2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110</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color w:val="auto"/>
                <w:sz w:val="21"/>
                <w:szCs w:val="21"/>
                <w:vertAlign w:val="baseline"/>
                <w:lang w:val="en-US" w:eastAsia="zh-CN"/>
              </w:rPr>
              <w:t>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0.360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5.33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7.9</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0.427</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4.93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7.3</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0.390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5.04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7.6</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0.413</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5.53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7.7</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4.99</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99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7.9</w:t>
            </w:r>
          </w:p>
        </w:tc>
        <w:tc>
          <w:tcPr>
            <w:tcW w:w="995"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0.423</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5.12</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18"/>
                <w:szCs w:val="18"/>
                <w:u w:val="none"/>
                <w:lang w:val="en-US" w:eastAsia="zh-CN" w:bidi="ar"/>
              </w:rPr>
            </w:pPr>
            <w:r>
              <w:rPr>
                <w:rFonts w:hint="eastAsia" w:eastAsia="宋体" w:cs="Times New Roman"/>
                <w:i w:val="0"/>
                <w:color w:val="auto"/>
                <w:kern w:val="0"/>
                <w:sz w:val="18"/>
                <w:szCs w:val="18"/>
                <w:u w:val="none"/>
                <w:lang w:val="en-US" w:eastAsia="zh-CN" w:bidi="ar"/>
              </w:rPr>
              <w:t>0.274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苯</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0.216</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1.11</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0.224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1.17</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0.219</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1.12</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-2</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36.2</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5.16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5.24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36.0</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预处理涂装房DA004</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color w:val="auto"/>
                <w:sz w:val="21"/>
                <w:szCs w:val="21"/>
                <w:vertAlign w:val="baseline"/>
                <w:lang w:val="en-US" w:eastAsia="zh-CN"/>
              </w:rPr>
              <w:t>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5.47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5.51</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5.24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5.68</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5.41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5.56</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5.36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未检出</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5.47</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1990" w:type="dxa"/>
            <w:gridSpan w:val="3"/>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auto"/>
                <w:kern w:val="2"/>
                <w:sz w:val="21"/>
                <w:szCs w:val="21"/>
                <w:vertAlign w:val="baseline"/>
                <w:lang w:val="en-US" w:eastAsia="zh-CN" w:bidi="ar-SA"/>
              </w:rPr>
            </w:pPr>
            <w:r>
              <w:rPr>
                <w:rFonts w:hint="eastAsia" w:eastAsia="宋体" w:cs="Times New Roman"/>
                <w:b/>
                <w:bCs/>
                <w:i w:val="0"/>
                <w:color w:val="auto"/>
                <w:kern w:val="0"/>
                <w:sz w:val="21"/>
                <w:szCs w:val="21"/>
                <w:u w:val="none"/>
                <w:lang w:val="en-US" w:eastAsia="zh-CN" w:bidi="ar"/>
              </w:rPr>
              <w:t>非甲烷总烃</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b/>
                <w:bCs/>
                <w:i w:val="0"/>
                <w:color w:val="auto"/>
                <w:kern w:val="0"/>
                <w:sz w:val="21"/>
                <w:szCs w:val="21"/>
                <w:u w:val="none"/>
                <w:lang w:val="en-US" w:eastAsia="zh-CN" w:bidi="ar"/>
              </w:rPr>
              <w:t>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p>
        </w:tc>
        <w:tc>
          <w:tcPr>
            <w:tcW w:w="102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69"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排放速率（kg/h）</w:t>
            </w:r>
          </w:p>
        </w:tc>
        <w:tc>
          <w:tcPr>
            <w:tcW w:w="1001"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18"/>
                <w:szCs w:val="18"/>
                <w:vertAlign w:val="baseline"/>
                <w:lang w:val="en-US" w:eastAsia="zh-CN"/>
              </w:rPr>
              <w:t>排放浓度（mg/m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w:t>
            </w:r>
          </w:p>
        </w:tc>
        <w:tc>
          <w:tcPr>
            <w:tcW w:w="950"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18"/>
                <w:szCs w:val="18"/>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3.31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5.06</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0.165</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3.48</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164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5.71</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5.40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3.34</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155</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5.22</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0.165</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5.49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168</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5.80</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0.163</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5.69</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149</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5.07</w:t>
            </w:r>
          </w:p>
        </w:tc>
        <w:tc>
          <w:tcPr>
            <w:tcW w:w="100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0.164</w:t>
            </w:r>
          </w:p>
        </w:tc>
        <w:tc>
          <w:tcPr>
            <w:tcW w:w="950"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18"/>
                <w:szCs w:val="18"/>
                <w:u w:val="none"/>
                <w:lang w:val="en-US" w:eastAsia="zh-CN" w:bidi="ar"/>
              </w:rPr>
              <w:t>5.07</w:t>
            </w:r>
            <w:r>
              <w:rPr>
                <w:rFonts w:hint="default" w:ascii="Times New Roman" w:hAnsi="Times New Roman" w:eastAsia="宋体" w:cs="Times New Roman"/>
                <w:i w:val="0"/>
                <w:color w:val="auto"/>
                <w:kern w:val="0"/>
                <w:sz w:val="18"/>
                <w:szCs w:val="18"/>
                <w:u w:val="none"/>
                <w:lang w:val="en-US" w:eastAsia="zh-CN" w:bidi="ar"/>
              </w:rPr>
              <w:t>×</w:t>
            </w:r>
            <w:r>
              <w:rPr>
                <w:rFonts w:hint="eastAsia" w:ascii="Times New Roman" w:hAnsi="Times New Roman" w:cs="Times New Roman"/>
                <w:i w:val="0"/>
                <w:color w:val="auto"/>
                <w:kern w:val="0"/>
                <w:sz w:val="18"/>
                <w:szCs w:val="18"/>
                <w:u w:val="none"/>
                <w:lang w:val="en-US" w:eastAsia="zh-CN" w:bidi="ar"/>
              </w:rPr>
              <w:t>10</w:t>
            </w:r>
            <w:r>
              <w:rPr>
                <w:rFonts w:hint="eastAsia" w:ascii="Times New Roman" w:hAnsi="Times New Roman" w:cs="Times New Roman"/>
                <w:i w:val="0"/>
                <w:color w:val="auto"/>
                <w:kern w:val="0"/>
                <w:sz w:val="18"/>
                <w:szCs w:val="18"/>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5.88</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0.229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6.41</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0.239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6.07</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0.232</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5.93</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0.229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6.54</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0.246</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3.85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02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6.21</w:t>
            </w:r>
          </w:p>
        </w:tc>
        <w:tc>
          <w:tcPr>
            <w:tcW w:w="969"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0.239</w:t>
            </w:r>
          </w:p>
        </w:tc>
        <w:tc>
          <w:tcPr>
            <w:tcW w:w="10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c>
          <w:tcPr>
            <w:tcW w:w="9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i w:val="0"/>
                <w:color w:val="auto"/>
                <w:kern w:val="0"/>
                <w:sz w:val="21"/>
                <w:szCs w:val="21"/>
                <w:u w:val="none"/>
                <w:lang w:val="en-US" w:eastAsia="zh-CN" w:bidi="ar"/>
              </w:rPr>
            </w:pPr>
            <w:r>
              <w:rPr>
                <w:rFonts w:hint="eastAsia" w:cs="Times New Roman"/>
                <w:b/>
                <w:bCs/>
                <w:color w:val="auto"/>
                <w:sz w:val="21"/>
                <w:szCs w:val="21"/>
                <w:vertAlign w:val="baseline"/>
                <w:lang w:val="en-US" w:eastAsia="zh-CN"/>
              </w:rPr>
              <w:t>甲苯与二甲苯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ascii="Times New Roman" w:hAnsi="Times New Roman" w:eastAsia="宋体"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0.382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12.5</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13.1</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双梁涂装房DA005出口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0.469</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0.417</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1.56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0.430</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0.469</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0.474</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1.79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0.470</w:t>
            </w:r>
          </w:p>
        </w:tc>
        <w:tc>
          <w:tcPr>
            <w:tcW w:w="1951"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1.81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/h）</w:t>
            </w:r>
          </w:p>
        </w:tc>
        <w:tc>
          <w:tcPr>
            <w:tcW w:w="3941" w:type="dxa"/>
            <w:gridSpan w:val="5"/>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2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95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06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b/>
                <w:bCs/>
                <w:color w:val="auto"/>
                <w:sz w:val="21"/>
                <w:szCs w:val="21"/>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排放浓度（mg/m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单梁车间焊接工序DA007进口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660</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587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623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583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1.47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617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1.50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637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单梁车间焊接工序DA007出口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4.0</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3.5</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0000FF"/>
                <w:sz w:val="21"/>
                <w:szCs w:val="21"/>
                <w:vertAlign w:val="baseline"/>
                <w:lang w:val="en-US" w:eastAsia="zh-CN"/>
              </w:rPr>
            </w:pPr>
            <w:r>
              <w:rPr>
                <w:rFonts w:hint="eastAsia" w:eastAsia="宋体" w:cs="Times New Roman"/>
                <w:i w:val="0"/>
                <w:color w:val="auto"/>
                <w:kern w:val="0"/>
                <w:sz w:val="21"/>
                <w:szCs w:val="21"/>
                <w:u w:val="none"/>
                <w:lang w:val="en-US" w:eastAsia="zh-CN" w:bidi="ar"/>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4.2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7.69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i w:val="0"/>
                <w:color w:val="auto"/>
                <w:kern w:val="0"/>
                <w:sz w:val="21"/>
                <w:szCs w:val="21"/>
                <w:u w:val="none"/>
                <w:lang w:val="en-US" w:eastAsia="zh-CN" w:bidi="ar"/>
              </w:rPr>
              <w:t>1.80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kern w:val="2"/>
                <w:sz w:val="21"/>
                <w:szCs w:val="21"/>
                <w:vertAlign w:val="baseline"/>
                <w:lang w:val="en-US" w:eastAsia="zh-CN" w:bidi="ar-SA"/>
              </w:rPr>
              <w:t>3.3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下料工序DA008进口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539</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1.59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476</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7.81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605</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487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7.99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1.63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下料工序DA008出口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0.189</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vertAlign w:val="baseline"/>
                <w:lang w:val="en-US" w:eastAsia="zh-CN"/>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0.182</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下料工序DA009进口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613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528</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383</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560</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auto"/>
                <w:sz w:val="21"/>
                <w:szCs w:val="21"/>
                <w:lang w:val="en-US" w:eastAsia="zh-CN"/>
              </w:rPr>
              <w:t>下料工序DA009出口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0.169</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3.08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0.191</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0.201</w:t>
            </w:r>
          </w:p>
        </w:tc>
        <w:tc>
          <w:tcPr>
            <w:tcW w:w="1951" w:type="dxa"/>
            <w:gridSpan w:val="2"/>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下料工序DA010进口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571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594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638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564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1.58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599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下料工序DA010出口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3.16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0.158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3.14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0.180</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0.160</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下料工序DA011进口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632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738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549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i w:val="0"/>
                <w:color w:val="auto"/>
                <w:kern w:val="0"/>
                <w:sz w:val="21"/>
                <w:szCs w:val="21"/>
                <w:u w:val="none"/>
                <w:lang w:val="en-US" w:eastAsia="zh-CN" w:bidi="ar"/>
              </w:rPr>
              <w:t>1.68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583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i w:val="0"/>
                <w:color w:val="auto"/>
                <w:kern w:val="0"/>
                <w:sz w:val="21"/>
                <w:szCs w:val="21"/>
                <w:u w:val="none"/>
                <w:lang w:val="en-US" w:eastAsia="zh-CN" w:bidi="ar"/>
              </w:rPr>
              <w:t>1.65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704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i w:val="0"/>
                <w:color w:val="auto"/>
                <w:kern w:val="0"/>
                <w:sz w:val="21"/>
                <w:szCs w:val="21"/>
                <w:u w:val="none"/>
                <w:lang w:val="en-US" w:eastAsia="zh-CN" w:bidi="ar"/>
              </w:rPr>
              <w:t>1.72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557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下料工序DA011出口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0.168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0.184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下料工序DA012进口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557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628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394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607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639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1.75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下料工序DA012出口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i w:val="0"/>
                <w:color w:val="auto"/>
                <w:kern w:val="0"/>
                <w:sz w:val="21"/>
                <w:szCs w:val="21"/>
                <w:u w:val="none"/>
                <w:lang w:val="en-US" w:eastAsia="zh-CN" w:bidi="ar"/>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0.196</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3.48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0.201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i w:val="0"/>
                <w:color w:val="auto"/>
                <w:kern w:val="0"/>
                <w:sz w:val="21"/>
                <w:szCs w:val="21"/>
                <w:u w:val="none"/>
                <w:lang w:val="en-US" w:eastAsia="zh-CN" w:bidi="ar"/>
              </w:rPr>
              <w:t>1.96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0.211</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焊接工序DA013进口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484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595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642</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537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1.72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587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629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9.52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双梁车间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下料工序DA013出口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0.157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3.00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3.61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0.214</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0.173</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3.22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0.197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1.88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0.208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3.91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点位</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采样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日期</w:t>
            </w:r>
          </w:p>
        </w:tc>
        <w:tc>
          <w:tcPr>
            <w:tcW w:w="959"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监测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频次</w:t>
            </w:r>
          </w:p>
        </w:tc>
        <w:tc>
          <w:tcPr>
            <w:tcW w:w="106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废气量</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/h）</w:t>
            </w:r>
          </w:p>
        </w:tc>
        <w:tc>
          <w:tcPr>
            <w:tcW w:w="3941" w:type="dxa"/>
            <w:gridSpan w:val="5"/>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eastAsia="宋体" w:cs="Times New Roman"/>
                <w:b/>
                <w:bCs/>
                <w:i w:val="0"/>
                <w:color w:val="000000" w:themeColor="text1"/>
                <w:kern w:val="0"/>
                <w:sz w:val="21"/>
                <w:szCs w:val="21"/>
                <w:u w:val="none"/>
                <w:lang w:val="en-US" w:eastAsia="zh-CN" w:bidi="ar"/>
                <w14:textFill>
                  <w14:solidFill>
                    <w14:schemeClr w14:val="tx1"/>
                  </w14:solidFill>
                </w14:textFill>
              </w:rPr>
              <w:t>油烟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59"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6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FF"/>
                <w:sz w:val="21"/>
                <w:szCs w:val="21"/>
                <w:vertAlign w:val="baseline"/>
                <w:lang w:val="en-US" w:eastAsia="zh-CN"/>
              </w:rPr>
            </w:pPr>
          </w:p>
        </w:tc>
        <w:tc>
          <w:tcPr>
            <w:tcW w:w="1990" w:type="dxa"/>
            <w:gridSpan w:val="3"/>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olor w:val="0000FF"/>
                <w:sz w:val="21"/>
                <w:szCs w:val="21"/>
                <w:lang w:val="en-US" w:eastAsia="zh-CN"/>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排放浓度（mg/m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1951" w:type="dxa"/>
            <w:gridSpan w:val="2"/>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0000FF"/>
                <w:kern w:val="0"/>
                <w:sz w:val="21"/>
                <w:szCs w:val="21"/>
                <w:u w:val="none"/>
                <w:lang w:val="en-US" w:eastAsia="zh-CN" w:bidi="ar"/>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油烟净化器DA014进口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1030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3.61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1070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3.96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1090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1040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3.95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1100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4.07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1070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4.17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油烟净化器DA014出口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1520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5.32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1590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5.25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1550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0.30</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4.65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1540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5.18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1570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0.37</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auto"/>
                <w:kern w:val="0"/>
                <w:sz w:val="21"/>
                <w:szCs w:val="21"/>
                <w:u w:val="none"/>
                <w:lang w:val="en-US" w:eastAsia="zh-CN" w:bidi="ar"/>
              </w:rPr>
              <w:t>5.62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1520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5.40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油烟净化器DA015进口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1050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3.78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1080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1030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3.61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1090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4.10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1080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3.98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1020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4.00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油烟净化器DA015出口</w:t>
            </w: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2023.03.27</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1630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1560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4.98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1510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5.38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r>
              <w:rPr>
                <w:rFonts w:hint="eastAsia" w:cs="Times New Roman"/>
                <w:color w:val="auto"/>
                <w:sz w:val="21"/>
                <w:szCs w:val="21"/>
                <w:lang w:val="en-US" w:eastAsia="zh-CN"/>
              </w:rPr>
              <w:t>2023.03.28</w:t>
            </w: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1610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0.36</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5.34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1570</w:t>
            </w:r>
          </w:p>
        </w:tc>
        <w:tc>
          <w:tcPr>
            <w:tcW w:w="1990"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0.34</w:t>
            </w:r>
          </w:p>
        </w:tc>
        <w:tc>
          <w:tcPr>
            <w:tcW w:w="195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5.42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1237"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FF"/>
                <w:sz w:val="21"/>
                <w:szCs w:val="21"/>
                <w:vertAlign w:val="baseline"/>
                <w:lang w:val="en-US" w:eastAsia="zh-CN"/>
              </w:rPr>
            </w:pPr>
          </w:p>
        </w:tc>
        <w:tc>
          <w:tcPr>
            <w:tcW w:w="95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0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1580</w:t>
            </w:r>
          </w:p>
        </w:tc>
        <w:tc>
          <w:tcPr>
            <w:tcW w:w="1990" w:type="dxa"/>
            <w:gridSpan w:val="3"/>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0.35</w:t>
            </w:r>
          </w:p>
        </w:tc>
        <w:tc>
          <w:tcPr>
            <w:tcW w:w="1951" w:type="dxa"/>
            <w:gridSpan w:val="2"/>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color w:val="auto"/>
                <w:kern w:val="0"/>
                <w:sz w:val="21"/>
                <w:szCs w:val="21"/>
                <w:u w:val="none"/>
                <w:lang w:val="en-US" w:eastAsia="zh-CN" w:bidi="ar"/>
              </w:rPr>
              <w:t>5.52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-4</w:t>
            </w:r>
          </w:p>
        </w:tc>
      </w:tr>
    </w:tbl>
    <w:p>
      <w:pPr>
        <w:keepNext w:val="0"/>
        <w:keepLines w:val="0"/>
        <w:pageBreakBefore w:val="0"/>
        <w:widowControl w:val="0"/>
        <w:kinsoku/>
        <w:wordWrap w:val="0"/>
        <w:overflowPunct/>
        <w:topLinePunct w:val="0"/>
        <w:autoSpaceDE/>
        <w:autoSpaceDN/>
        <w:bidi w:val="0"/>
        <w:adjustRightInd/>
        <w:snapToGrid/>
        <w:ind w:firstLine="480"/>
        <w:textAlignment w:val="auto"/>
        <w:rPr>
          <w:rFonts w:hint="eastAsia" w:cs="Times New Roman"/>
          <w:color w:val="000000" w:themeColor="text1"/>
          <w:vertAlign w:val="baseline"/>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w:t>
      </w:r>
      <w:r>
        <w:rPr>
          <w:rFonts w:cs="Times New Roman"/>
          <w:color w:val="000000" w:themeColor="text1"/>
          <w14:textFill>
            <w14:solidFill>
              <w14:schemeClr w14:val="tx1"/>
            </w14:solidFill>
          </w14:textFill>
        </w:rPr>
        <w:t>上表可知，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甲苯、二甲苯排放浓度</w:t>
      </w:r>
    </w:p>
    <w:p>
      <w:pPr>
        <w:keepNext w:val="0"/>
        <w:keepLines w:val="0"/>
        <w:pageBreakBefore w:val="0"/>
        <w:widowControl w:val="0"/>
        <w:kinsoku/>
        <w:wordWrap w:val="0"/>
        <w:overflowPunct/>
        <w:topLinePunct w:val="0"/>
        <w:autoSpaceDE/>
        <w:autoSpaceDN/>
        <w:bidi w:val="0"/>
        <w:adjustRightInd/>
        <w:snapToGrid/>
        <w:ind w:left="0" w:leftChars="0" w:firstLine="0" w:firstLineChars="0"/>
        <w:textAlignment w:val="auto"/>
        <w:rPr>
          <w:rFonts w:hint="eastAsia" w:cs="Times New Roman" w:eastAsiaTheme="minorEastAsia"/>
          <w:color w:val="000000" w:themeColor="text1"/>
          <w:vertAlign w:val="baseline"/>
          <w:lang w:val="en-US" w:eastAsia="zh-CN"/>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食堂油烟排放浓度在0.33-0.37</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p>
    <w:p>
      <w:pPr>
        <w:ind w:firstLine="480"/>
        <w:rPr>
          <w:rFonts w:cs="Times New Roman"/>
          <w:color w:val="auto"/>
        </w:rPr>
      </w:pPr>
      <w:r>
        <w:rPr>
          <w:rFonts w:cs="Times New Roman"/>
          <w:color w:val="auto"/>
        </w:rPr>
        <w:t>项目无组织监测点位的监测结果见下表。</w:t>
      </w:r>
    </w:p>
    <w:p>
      <w:pPr>
        <w:ind w:firstLine="482"/>
        <w:jc w:val="center"/>
        <w:rPr>
          <w:rFonts w:cs="Times New Roman"/>
          <w:color w:val="auto"/>
        </w:rPr>
      </w:pPr>
      <w:r>
        <w:rPr>
          <w:rFonts w:cs="Times New Roman"/>
          <w:b/>
          <w:bCs/>
          <w:color w:val="auto"/>
        </w:rPr>
        <w:t>表9-</w:t>
      </w:r>
      <w:r>
        <w:rPr>
          <w:rFonts w:hint="eastAsia" w:cs="Times New Roman"/>
          <w:b/>
          <w:bCs/>
          <w:color w:val="auto"/>
          <w:lang w:val="en-US" w:eastAsia="zh-CN"/>
        </w:rPr>
        <w:t>3</w:t>
      </w:r>
      <w:r>
        <w:rPr>
          <w:rFonts w:cs="Times New Roman"/>
          <w:color w:val="auto"/>
        </w:rPr>
        <w:t xml:space="preserve">  </w:t>
      </w:r>
      <w:r>
        <w:rPr>
          <w:rFonts w:cs="Times New Roman"/>
          <w:b/>
          <w:bCs/>
          <w:color w:val="auto"/>
        </w:rPr>
        <w:t xml:space="preserve"> 无组织监测</w:t>
      </w:r>
      <w:r>
        <w:rPr>
          <w:rFonts w:hint="eastAsia" w:cs="Times New Roman"/>
          <w:b/>
          <w:bCs/>
          <w:color w:val="auto"/>
        </w:rPr>
        <w:t>期间气象参数</w:t>
      </w:r>
    </w:p>
    <w:tbl>
      <w:tblPr>
        <w:tblStyle w:val="21"/>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6"/>
        <w:gridCol w:w="1490"/>
        <w:gridCol w:w="1352"/>
        <w:gridCol w:w="1351"/>
        <w:gridCol w:w="1368"/>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采样日期</w:t>
            </w:r>
          </w:p>
        </w:tc>
        <w:tc>
          <w:tcPr>
            <w:tcW w:w="1490" w:type="dxa"/>
            <w:vMerge w:val="restar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颗粒物</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p>
        </w:tc>
        <w:tc>
          <w:tcPr>
            <w:tcW w:w="1490" w:type="dxa"/>
            <w:vMerge w:val="continue"/>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0.113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0.254</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0.338</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sz w:val="21"/>
                <w:szCs w:val="21"/>
                <w:vertAlign w:val="baseline"/>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0.109</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0.286</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0.361</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auto"/>
                <w:sz w:val="21"/>
                <w:szCs w:val="21"/>
                <w:vertAlign w:val="baseline"/>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0.104</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0.356</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0.333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0.113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0.283</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0.327</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0.106</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0.350</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0.317</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auto"/>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0.111</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0.357</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0.289</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非甲烷总烃</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49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0.51</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1.08</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0.96</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0.50</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1.10</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0.99</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1.07</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0.96</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1.11</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1.08</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0.50</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1.07</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0.99</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0.98</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1.06</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苯</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b/>
                <w:bCs/>
                <w:color w:val="auto"/>
                <w:sz w:val="21"/>
                <w:szCs w:val="21"/>
              </w:rPr>
            </w:pPr>
          </w:p>
        </w:tc>
        <w:tc>
          <w:tcPr>
            <w:tcW w:w="1490" w:type="dxa"/>
            <w:vMerge w:val="continue"/>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b/>
                <w:bCs/>
                <w:color w:val="auto"/>
                <w:sz w:val="21"/>
                <w:szCs w:val="21"/>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未检出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甲苯</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49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
                <w:bCs/>
                <w:color w:val="auto"/>
                <w:sz w:val="21"/>
                <w:szCs w:val="21"/>
                <w:lang w:val="en-US" w:eastAsia="zh-CN"/>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9.71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1.73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2.02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8.79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9.46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2.11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ascii="Times New Roman" w:hAnsi="Times New Roman" w:eastAsia="宋体" w:cs="Times New Roman"/>
                <w:i w:val="0"/>
                <w:color w:val="auto"/>
                <w:kern w:val="0"/>
                <w:sz w:val="21"/>
                <w:szCs w:val="21"/>
                <w:u w:val="none"/>
                <w:lang w:val="en-US" w:eastAsia="zh-CN" w:bidi="ar"/>
              </w:rPr>
              <w:t>1.92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9.54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8.84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2.05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9.33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-3</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1.77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2.01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ascii="Times New Roman" w:hAnsi="Times New Roman" w:cs="Times New Roman"/>
                <w:color w:val="0000FF"/>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1.85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ascii="宋体" w:hAnsi="宋体" w:eastAsia="宋体" w:cs="宋体"/>
                <w:b/>
                <w:bCs/>
                <w:color w:val="auto"/>
                <w:sz w:val="21"/>
                <w:szCs w:val="21"/>
              </w:rPr>
              <w:t>采样日期</w:t>
            </w:r>
          </w:p>
        </w:tc>
        <w:tc>
          <w:tcPr>
            <w:tcW w:w="1490" w:type="dxa"/>
            <w:vMerge w:val="restar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采样时间</w:t>
            </w:r>
          </w:p>
        </w:tc>
        <w:tc>
          <w:tcPr>
            <w:tcW w:w="5406" w:type="dxa"/>
            <w:gridSpan w:val="4"/>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cs="Times New Roman"/>
                <w:b/>
                <w:bCs/>
                <w:color w:val="auto"/>
                <w:sz w:val="21"/>
                <w:szCs w:val="21"/>
                <w:vertAlign w:val="baseline"/>
                <w:lang w:val="en-US" w:eastAsia="zh-CN"/>
              </w:rPr>
              <w:t>二甲苯</w:t>
            </w:r>
            <w:r>
              <w:rPr>
                <w:rFonts w:hint="eastAsia" w:ascii="Times New Roman" w:hAnsi="Times New Roman" w:eastAsia="宋体" w:cs="Times New Roman"/>
                <w:b/>
                <w:bCs/>
                <w:color w:val="auto"/>
                <w:sz w:val="21"/>
                <w:szCs w:val="21"/>
                <w:vertAlign w:val="baseline"/>
                <w:lang w:val="en-US" w:eastAsia="zh-CN"/>
              </w:rPr>
              <w:t>(mg/m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vMerge w:val="continue"/>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p>
        </w:tc>
        <w:tc>
          <w:tcPr>
            <w:tcW w:w="1352"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上风向1#</w:t>
            </w:r>
          </w:p>
        </w:tc>
        <w:tc>
          <w:tcPr>
            <w:tcW w:w="13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下风向2#</w:t>
            </w:r>
          </w:p>
        </w:tc>
        <w:tc>
          <w:tcPr>
            <w:tcW w:w="136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下风向3#</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s="Times New Roman"/>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下风向4#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2023.03.27</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1.49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4.56</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6.07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1.58</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5.49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4.79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4.82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5.91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6.13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r>
              <w:rPr>
                <w:rFonts w:hint="eastAsia" w:cs="Times New Roman"/>
                <w:color w:val="auto"/>
                <w:sz w:val="21"/>
                <w:szCs w:val="21"/>
                <w:lang w:val="en-US" w:eastAsia="zh-CN"/>
              </w:rPr>
              <w:t>2023.03.28</w:t>
            </w: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第一次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1.35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4.84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5.37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6.03</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lang w:val="en-US" w:eastAsia="zh-CN"/>
              </w:rPr>
              <w:t>第二次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1.52</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5.27</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6.01</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4.97</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26"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bCs/>
                <w:color w:val="0000FF"/>
                <w:sz w:val="21"/>
                <w:szCs w:val="21"/>
                <w:lang w:val="en-US" w:eastAsia="zh-CN"/>
              </w:rPr>
            </w:pPr>
          </w:p>
        </w:tc>
        <w:tc>
          <w:tcPr>
            <w:tcW w:w="1490"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第三次</w:t>
            </w:r>
          </w:p>
        </w:tc>
        <w:tc>
          <w:tcPr>
            <w:tcW w:w="1352"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1.50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51"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5.39</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68" w:type="dxa"/>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5.94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c>
          <w:tcPr>
            <w:tcW w:w="1335" w:type="dxa"/>
            <w:tcBorders>
              <w:top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top"/>
              <w:outlineLvl w:val="9"/>
              <w:rPr>
                <w:rFonts w:hint="eastAsia" w:cs="Times New Roman"/>
                <w:color w:val="auto"/>
                <w:sz w:val="21"/>
                <w:szCs w:val="21"/>
                <w:vertAlign w:val="baseline"/>
                <w:lang w:val="en-US" w:eastAsia="zh-CN"/>
              </w:rPr>
            </w:pPr>
            <w:r>
              <w:rPr>
                <w:rFonts w:hint="eastAsia" w:eastAsia="宋体" w:cs="Times New Roman"/>
                <w:i w:val="0"/>
                <w:color w:val="000000" w:themeColor="text1"/>
                <w:kern w:val="0"/>
                <w:sz w:val="21"/>
                <w:szCs w:val="21"/>
                <w:u w:val="none"/>
                <w:lang w:val="en-US" w:eastAsia="zh-CN" w:bidi="ar"/>
                <w14:textFill>
                  <w14:solidFill>
                    <w14:schemeClr w14:val="tx1"/>
                  </w14:solidFill>
                </w14:textFill>
              </w:rPr>
              <w:t>5.74</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p>
        </w:tc>
      </w:tr>
    </w:tbl>
    <w:p>
      <w:pPr>
        <w:ind w:firstLine="480"/>
        <w:rPr>
          <w:rFonts w:hint="eastAsia" w:cs="Times New Roman"/>
          <w:color w:val="000000" w:themeColor="text1"/>
          <w:lang w:val="en-US" w:eastAsia="zh-CN"/>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s="Times New Roman"/>
          <w:color w:val="000000" w:themeColor="text1"/>
          <w14:textFill>
            <w14:solidFill>
              <w14:schemeClr w14:val="tx1"/>
            </w14:solidFill>
          </w14:textFill>
        </w:rPr>
        <w:t>本项目无组织废气中，颗粒物浓度最大值为</w:t>
      </w:r>
      <w:r>
        <w:rPr>
          <w:rFonts w:hint="eastAsia" w:cs="Times New Roman"/>
          <w:color w:val="000000" w:themeColor="text1"/>
          <w:lang w:val="en-US" w:eastAsia="zh-CN"/>
          <w14:textFill>
            <w14:solidFill>
              <w14:schemeClr w14:val="tx1"/>
            </w14:solidFill>
          </w14:textFill>
        </w:rPr>
        <w:t>0.361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eastAsia" w:cs="Times New Roman"/>
          <w:color w:val="000000" w:themeColor="text1"/>
          <w14:textFill>
            <w14:solidFill>
              <w14:schemeClr w14:val="tx1"/>
            </w14:solidFill>
          </w14:textFill>
        </w:rPr>
        <w:t>最大浓度为</w:t>
      </w:r>
      <w:r>
        <w:rPr>
          <w:rFonts w:hint="eastAsia" w:cs="Times New Roman"/>
          <w:color w:val="000000" w:themeColor="text1"/>
          <w:lang w:val="en-US" w:eastAsia="zh-CN"/>
          <w14:textFill>
            <w14:solidFill>
              <w14:schemeClr w14:val="tx1"/>
            </w14:solidFill>
          </w14:textFill>
        </w:rPr>
        <w:t>1.11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苯未检出，甲苯最大浓度为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p>
    <w:p>
      <w:pPr>
        <w:ind w:left="0" w:leftChars="0"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二甲苯最大浓度为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cs="Times New Roman"/>
          <w:b/>
          <w:bCs/>
          <w:color w:val="000000" w:themeColor="text1"/>
          <w:sz w:val="28"/>
          <w:szCs w:val="28"/>
          <w14:textFill>
            <w14:solidFill>
              <w14:schemeClr w14:val="tx1"/>
            </w14:solidFill>
          </w14:textFill>
        </w:rPr>
      </w:pPr>
      <w:r>
        <w:rPr>
          <w:rFonts w:cs="Times New Roman"/>
          <w:b/>
          <w:bCs/>
          <w:color w:val="000000" w:themeColor="text1"/>
          <w:sz w:val="28"/>
          <w:szCs w:val="28"/>
          <w14:textFill>
            <w14:solidFill>
              <w14:schemeClr w14:val="tx1"/>
            </w14:solidFill>
          </w14:textFill>
        </w:rPr>
        <w:t>9.2.1.3 厂界噪声</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本项目对厂界四周的噪声情况的监测情况见表9-</w:t>
      </w:r>
      <w:r>
        <w:rPr>
          <w:rFonts w:hint="eastAsia" w:cs="Times New Roman"/>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表9-</w:t>
      </w:r>
      <w:r>
        <w:rPr>
          <w:rFonts w:hint="eastAsia" w:cs="Times New Roman"/>
          <w:b/>
          <w:bCs/>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 xml:space="preserve"> </w:t>
      </w:r>
      <w:r>
        <w:rPr>
          <w:rFonts w:cs="Times New Roman"/>
          <w:b/>
          <w:bCs/>
          <w:color w:val="000000" w:themeColor="text1"/>
          <w14:textFill>
            <w14:solidFill>
              <w14:schemeClr w14:val="tx1"/>
            </w14:solidFill>
          </w14:textFill>
        </w:rPr>
        <w:t xml:space="preserve">  本项目厂界噪声监测一览表</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718"/>
        <w:gridCol w:w="135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采样点位</w:t>
            </w:r>
          </w:p>
        </w:tc>
        <w:tc>
          <w:tcPr>
            <w:tcW w:w="27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监测频次</w:t>
            </w:r>
          </w:p>
        </w:tc>
        <w:tc>
          <w:tcPr>
            <w:tcW w:w="27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纽科伦（新乡）起重机有限公司</w:t>
            </w:r>
            <w:r>
              <w:rPr>
                <w:rFonts w:hint="eastAsia" w:cs="Times New Roman"/>
                <w:color w:val="000000" w:themeColor="text1"/>
                <w:sz w:val="21"/>
                <w:szCs w:val="21"/>
                <w:lang w:val="en-US" w:eastAsia="zh-CN"/>
                <w14:textFill>
                  <w14:solidFill>
                    <w14:schemeClr w14:val="tx1"/>
                  </w14:solidFill>
                </w14:textFill>
              </w:rPr>
              <w:t>厂界四周</w:t>
            </w:r>
          </w:p>
        </w:tc>
        <w:tc>
          <w:tcPr>
            <w:tcW w:w="27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连续监测</w:t>
            </w:r>
            <w:r>
              <w:rPr>
                <w:rFonts w:hint="eastAsia" w:ascii="Times New Roman" w:hAnsi="Times New Roman" w:cs="Times New Roman"/>
                <w:bCs/>
                <w:color w:val="000000" w:themeColor="text1"/>
                <w:sz w:val="21"/>
                <w:szCs w:val="21"/>
                <w:lang w:val="en-US" w:eastAsia="zh-CN"/>
                <w14:textFill>
                  <w14:solidFill>
                    <w14:schemeClr w14:val="tx1"/>
                  </w14:solidFill>
                </w14:textFill>
              </w:rPr>
              <w:t>两</w:t>
            </w:r>
            <w:r>
              <w:rPr>
                <w:rFonts w:hint="default" w:ascii="Times New Roman" w:hAnsi="Times New Roman" w:cs="Times New Roman"/>
                <w:bCs/>
                <w:color w:val="000000" w:themeColor="text1"/>
                <w:sz w:val="21"/>
                <w:szCs w:val="21"/>
                <w14:textFill>
                  <w14:solidFill>
                    <w14:schemeClr w14:val="tx1"/>
                  </w14:solidFill>
                </w14:textFill>
              </w:rPr>
              <w:t>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每天</w:t>
            </w:r>
            <w:r>
              <w:rPr>
                <w:rFonts w:hint="default" w:ascii="Times New Roman" w:hAnsi="Times New Roman" w:cs="Times New Roman"/>
                <w:bCs/>
                <w:color w:val="000000" w:themeColor="text1"/>
                <w:sz w:val="21"/>
                <w:szCs w:val="21"/>
                <w:lang w:val="en-US" w:eastAsia="zh-CN"/>
                <w14:textFill>
                  <w14:solidFill>
                    <w14:schemeClr w14:val="tx1"/>
                  </w14:solidFill>
                </w14:textFill>
              </w:rPr>
              <w:t>昼</w:t>
            </w:r>
            <w:r>
              <w:rPr>
                <w:rFonts w:hint="eastAsia" w:ascii="Times New Roman" w:hAnsi="Times New Roman" w:cs="Times New Roman"/>
                <w:bCs/>
                <w:color w:val="000000" w:themeColor="text1"/>
                <w:sz w:val="21"/>
                <w:szCs w:val="21"/>
                <w:lang w:val="en-US" w:eastAsia="zh-CN"/>
                <w14:textFill>
                  <w14:solidFill>
                    <w14:schemeClr w14:val="tx1"/>
                  </w14:solidFill>
                </w14:textFill>
              </w:rPr>
              <w:t>间一</w:t>
            </w:r>
            <w:r>
              <w:rPr>
                <w:rFonts w:hint="default" w:ascii="Times New Roman" w:hAnsi="Times New Roman" w:cs="Times New Roman"/>
                <w:bCs/>
                <w:color w:val="000000" w:themeColor="text1"/>
                <w:sz w:val="21"/>
                <w:szCs w:val="21"/>
                <w14:textFill>
                  <w14:solidFill>
                    <w14:schemeClr w14:val="tx1"/>
                  </w14:solidFill>
                </w14:textFill>
              </w:rPr>
              <w:t>次</w:t>
            </w:r>
          </w:p>
        </w:tc>
        <w:tc>
          <w:tcPr>
            <w:tcW w:w="27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检测点位</w:t>
            </w:r>
          </w:p>
        </w:tc>
        <w:tc>
          <w:tcPr>
            <w:tcW w:w="27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检测时间</w:t>
            </w:r>
          </w:p>
        </w:tc>
        <w:tc>
          <w:tcPr>
            <w:tcW w:w="270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27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昼</w:t>
            </w:r>
            <w:r>
              <w:rPr>
                <w:rFonts w:hint="eastAsia" w:ascii="Times New Roman" w:hAnsi="Times New Roman" w:cs="Times New Roman"/>
                <w:b/>
                <w:bCs/>
                <w:color w:val="000000" w:themeColor="text1"/>
                <w:sz w:val="21"/>
                <w:szCs w:val="21"/>
                <w:lang w:val="en-US" w:eastAsia="zh-CN"/>
                <w14:textFill>
                  <w14:solidFill>
                    <w14:schemeClr w14:val="tx1"/>
                  </w14:solidFill>
                </w14:textFill>
              </w:rPr>
              <w:t>间</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东厂界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南厂界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52</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55</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西厂界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54</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北厂界</w:t>
            </w: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2023.03.27</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54</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71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auto"/>
                <w:sz w:val="21"/>
                <w:szCs w:val="21"/>
                <w:lang w:val="en-US" w:eastAsia="zh-CN"/>
              </w:rPr>
              <w:t>2023.03.28</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w:t>
            </w:r>
          </w:p>
        </w:tc>
      </w:tr>
    </w:tbl>
    <w:p>
      <w:pPr>
        <w:keepNext w:val="0"/>
        <w:keepLines w:val="0"/>
        <w:pageBreakBefore w:val="0"/>
        <w:widowControl w:val="0"/>
        <w:kinsoku/>
        <w:wordWrap/>
        <w:overflowPunct/>
        <w:topLinePunct w:val="0"/>
        <w:autoSpaceDE/>
        <w:autoSpaceDN/>
        <w:bidi w:val="0"/>
        <w:snapToGrid w:val="0"/>
        <w:spacing w:line="48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keepNext w:val="0"/>
        <w:keepLines w:val="0"/>
        <w:pageBreakBefore w:val="0"/>
        <w:widowControl w:val="0"/>
        <w:kinsoku/>
        <w:wordWrap/>
        <w:overflowPunct/>
        <w:topLinePunct w:val="0"/>
        <w:autoSpaceDE/>
        <w:autoSpaceDN/>
        <w:bidi w:val="0"/>
        <w:snapToGrid w:val="0"/>
        <w:spacing w:line="480" w:lineRule="exact"/>
        <w:ind w:firstLine="0" w:firstLineChars="0"/>
        <w:textAlignment w:val="auto"/>
        <w:rPr>
          <w:rFonts w:cs="Times New Roman"/>
          <w:b/>
          <w:bCs/>
          <w:sz w:val="28"/>
          <w:szCs w:val="28"/>
        </w:rPr>
      </w:pPr>
      <w:r>
        <w:rPr>
          <w:rFonts w:cs="Times New Roman"/>
          <w:b/>
          <w:bCs/>
          <w:sz w:val="28"/>
          <w:szCs w:val="28"/>
        </w:rPr>
        <w:t>9.2.1.4 固废</w:t>
      </w:r>
    </w:p>
    <w:p>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cs="Times New Roman" w:eastAsiaTheme="minorEastAsia"/>
          <w:lang w:val="en-US" w:eastAsia="zh-CN"/>
        </w:rPr>
      </w:pPr>
      <w:r>
        <w:rPr>
          <w:color w:val="000000" w:themeColor="text1"/>
          <w:sz w:val="24"/>
          <w14:textFill>
            <w14:solidFill>
              <w14:schemeClr w14:val="tx1"/>
            </w14:solidFill>
          </w14:textFill>
        </w:rPr>
        <w:t>本项目产生的</w:t>
      </w:r>
      <w:r>
        <w:rPr>
          <w:rFonts w:hint="eastAsia"/>
          <w:color w:val="000000" w:themeColor="text1"/>
          <w:sz w:val="24"/>
          <w14:textFill>
            <w14:solidFill>
              <w14:schemeClr w14:val="tx1"/>
            </w14:solidFill>
          </w14:textFill>
        </w:rPr>
        <w:t>一般</w:t>
      </w:r>
      <w:r>
        <w:rPr>
          <w:color w:val="000000" w:themeColor="text1"/>
          <w:sz w:val="24"/>
          <w14:textFill>
            <w14:solidFill>
              <w14:schemeClr w14:val="tx1"/>
            </w14:solidFill>
          </w14:textFill>
        </w:rPr>
        <w:t>固废主要有</w:t>
      </w:r>
      <w:r>
        <w:rPr>
          <w:rFonts w:hint="eastAsia"/>
          <w:color w:val="000000" w:themeColor="text1"/>
          <w:sz w:val="24"/>
          <w:lang w:val="en-US" w:eastAsia="zh-CN"/>
          <w14:textFill>
            <w14:solidFill>
              <w14:schemeClr w14:val="tx1"/>
            </w14:solidFill>
          </w14:textFill>
        </w:rPr>
        <w:t>机加工产生的废金属下脚料，清洗机器产生的废抹布废手套（属于豁免清单中危险，随一般固废处理），废气处理产生的除尘渣，焊接工序产生的废焊条和焊渣，抛丸工序产生的废钢丸，原料使用过程产生的废包装材料，属于一般固废，暂存于一般固废暂存间，回收综合利用。危险废物为机加工产生的废切削液、废机油，喷漆过程产生的废料桶，废气治理过程产生的漆渣和废活性炭</w:t>
      </w:r>
      <w:r>
        <w:rPr>
          <w:rFonts w:hint="eastAsia"/>
          <w:color w:val="000000" w:themeColor="text1"/>
          <w:sz w:val="24"/>
          <w14:textFill>
            <w14:solidFill>
              <w14:schemeClr w14:val="tx1"/>
            </w14:solidFill>
          </w14:textFill>
        </w:rPr>
        <w:t>，暂存于危险废物暂存间，定期交由有资质单位处置</w:t>
      </w:r>
      <w:r>
        <w:rPr>
          <w:rFonts w:hint="eastAsia" w:cs="Times New Roman"/>
        </w:rPr>
        <w:t>。</w:t>
      </w:r>
      <w:r>
        <w:rPr>
          <w:rFonts w:hint="eastAsia" w:cs="Times New Roman"/>
          <w:lang w:val="en-US" w:eastAsia="zh-CN"/>
        </w:rPr>
        <w:t>生活垃圾定期由环卫部门清运。</w:t>
      </w:r>
    </w:p>
    <w:p>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eastAsia" w:cs="Times New Roman"/>
        </w:rPr>
      </w:pPr>
      <w:r>
        <w:rPr>
          <w:rFonts w:hint="eastAsia" w:cs="Times New Roman"/>
        </w:rPr>
        <w:t>本项目各项固体废物储存处置均符合环评及批复要求。</w:t>
      </w:r>
    </w:p>
    <w:p>
      <w:pPr>
        <w:keepNext w:val="0"/>
        <w:keepLines w:val="0"/>
        <w:pageBreakBefore w:val="0"/>
        <w:widowControl w:val="0"/>
        <w:kinsoku/>
        <w:wordWrap/>
        <w:overflowPunct/>
        <w:topLinePunct w:val="0"/>
        <w:autoSpaceDE/>
        <w:autoSpaceDN/>
        <w:bidi w:val="0"/>
        <w:snapToGrid w:val="0"/>
        <w:spacing w:line="480" w:lineRule="exact"/>
        <w:ind w:firstLine="0" w:firstLineChars="0"/>
        <w:textAlignment w:val="auto"/>
        <w:rPr>
          <w:rFonts w:hint="default" w:cs="Times New Roman" w:eastAsiaTheme="minorEastAsia"/>
          <w:b/>
          <w:bCs/>
          <w:sz w:val="28"/>
          <w:szCs w:val="28"/>
          <w:lang w:val="en-US" w:eastAsia="zh-CN"/>
        </w:rPr>
      </w:pPr>
      <w:r>
        <w:rPr>
          <w:rFonts w:cs="Times New Roman"/>
          <w:b/>
          <w:bCs/>
          <w:sz w:val="28"/>
          <w:szCs w:val="28"/>
        </w:rPr>
        <w:t xml:space="preserve">9.2.1.4 </w:t>
      </w:r>
      <w:r>
        <w:rPr>
          <w:rFonts w:hint="eastAsia" w:cs="Times New Roman"/>
          <w:b/>
          <w:bCs/>
          <w:sz w:val="28"/>
          <w:szCs w:val="28"/>
          <w:lang w:val="en-US" w:eastAsia="zh-CN"/>
        </w:rPr>
        <w:t>污染物排放总量核算</w:t>
      </w:r>
    </w:p>
    <w:p>
      <w:pPr>
        <w:keepNext w:val="0"/>
        <w:keepLines w:val="0"/>
        <w:pageBreakBefore w:val="0"/>
        <w:widowControl w:val="0"/>
        <w:kinsoku/>
        <w:wordWrap/>
        <w:overflowPunct/>
        <w:topLinePunct w:val="0"/>
        <w:autoSpaceDE/>
        <w:autoSpaceDN/>
        <w:bidi w:val="0"/>
        <w:adjustRightInd/>
        <w:snapToGrid/>
        <w:spacing w:line="520" w:lineRule="exact"/>
        <w:ind w:firstLine="482"/>
        <w:jc w:val="left"/>
        <w:textAlignment w:val="auto"/>
        <w:rPr>
          <w:rFonts w:hint="default" w:cs="Times New Roman" w:eastAsiaTheme="minorEastAsia"/>
          <w:b w:val="0"/>
          <w:bCs w:val="0"/>
          <w:color w:val="000000" w:themeColor="text1"/>
          <w:vertAlign w:val="baseline"/>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本次验收项目涉及的大气污染物总量指标为颗粒物、</w:t>
      </w:r>
      <w:r>
        <w:rPr>
          <w:rFonts w:hint="eastAsia" w:cs="Times New Roman"/>
          <w:b w:val="0"/>
          <w:bCs w:val="0"/>
          <w:color w:val="000000" w:themeColor="text1"/>
          <w:vertAlign w:val="baseline"/>
          <w:lang w:val="en-US" w:eastAsia="zh-CN"/>
          <w14:textFill>
            <w14:solidFill>
              <w14:schemeClr w14:val="tx1"/>
            </w14:solidFill>
          </w14:textFill>
        </w:rPr>
        <w:t>非甲烷总烃，污染物排放总量见下表所示。</w:t>
      </w:r>
    </w:p>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hint="default" w:cs="Times New Roman" w:eastAsiaTheme="minorEastAsia"/>
          <w:b/>
          <w:bCs/>
          <w:color w:val="000000" w:themeColor="text1"/>
          <w:lang w:val="en-US" w:eastAsia="zh-CN"/>
          <w14:textFill>
            <w14:solidFill>
              <w14:schemeClr w14:val="tx1"/>
            </w14:solidFill>
          </w14:textFill>
        </w:rPr>
      </w:pPr>
      <w:r>
        <w:rPr>
          <w:rFonts w:cs="Times New Roman"/>
          <w:b/>
          <w:bCs/>
          <w:color w:val="000000" w:themeColor="text1"/>
          <w14:textFill>
            <w14:solidFill>
              <w14:schemeClr w14:val="tx1"/>
            </w14:solidFill>
          </w14:textFill>
        </w:rPr>
        <w:t>表9-</w:t>
      </w:r>
      <w:r>
        <w:rPr>
          <w:rFonts w:hint="eastAsia" w:cs="Times New Roman"/>
          <w:b/>
          <w:bCs/>
          <w:color w:val="000000" w:themeColor="text1"/>
          <w:lang w:val="en-US" w:eastAsia="zh-CN"/>
          <w14:textFill>
            <w14:solidFill>
              <w14:schemeClr w14:val="tx1"/>
            </w14:solidFill>
          </w14:textFill>
        </w:rPr>
        <w:t>5</w:t>
      </w:r>
      <w:r>
        <w:rPr>
          <w:rFonts w:cs="Times New Roman"/>
          <w:b/>
          <w:bCs/>
          <w:color w:val="000000" w:themeColor="text1"/>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废气总量核算一览表      单位：t/a</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709"/>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污染因子</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实际排放总量</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颗粒物</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1.98</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7.8953</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11.9728</w:t>
            </w:r>
          </w:p>
        </w:tc>
      </w:tr>
    </w:tbl>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废水总量指标为化学需氧量、氨氮，污染物厂区总排口纳管量见下表所示。</w:t>
      </w:r>
    </w:p>
    <w:p>
      <w:pPr>
        <w:keepNext w:val="0"/>
        <w:keepLines w:val="0"/>
        <w:pageBreakBefore w:val="0"/>
        <w:widowControl w:val="0"/>
        <w:kinsoku/>
        <w:wordWrap/>
        <w:overflowPunct/>
        <w:topLinePunct w:val="0"/>
        <w:autoSpaceDE/>
        <w:autoSpaceDN/>
        <w:bidi w:val="0"/>
        <w:adjustRightInd/>
        <w:snapToGrid/>
        <w:spacing w:line="520" w:lineRule="exact"/>
        <w:ind w:firstLine="482"/>
        <w:jc w:val="center"/>
        <w:textAlignment w:val="auto"/>
        <w:rPr>
          <w:rFonts w:hint="default" w:cs="Times New Roman" w:eastAsiaTheme="minorEastAsia"/>
          <w:b/>
          <w:bCs/>
          <w:color w:val="000000" w:themeColor="text1"/>
          <w:lang w:val="en-US" w:eastAsia="zh-CN"/>
          <w14:textFill>
            <w14:solidFill>
              <w14:schemeClr w14:val="tx1"/>
            </w14:solidFill>
          </w14:textFill>
        </w:rPr>
      </w:pPr>
      <w:r>
        <w:rPr>
          <w:rFonts w:cs="Times New Roman"/>
          <w:b/>
          <w:bCs/>
          <w:color w:val="000000" w:themeColor="text1"/>
          <w14:textFill>
            <w14:solidFill>
              <w14:schemeClr w14:val="tx1"/>
            </w14:solidFill>
          </w14:textFill>
        </w:rPr>
        <w:t>表9-</w:t>
      </w:r>
      <w:r>
        <w:rPr>
          <w:rFonts w:hint="eastAsia" w:cs="Times New Roman"/>
          <w:b/>
          <w:bCs/>
          <w:color w:val="000000" w:themeColor="text1"/>
          <w:lang w:val="en-US" w:eastAsia="zh-CN"/>
          <w14:textFill>
            <w14:solidFill>
              <w14:schemeClr w14:val="tx1"/>
            </w14:solidFill>
          </w14:textFill>
        </w:rPr>
        <w:t>6</w:t>
      </w:r>
      <w:r>
        <w:rPr>
          <w:rFonts w:cs="Times New Roman"/>
          <w:b/>
          <w:bCs/>
          <w:color w:val="000000" w:themeColor="text1"/>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废水污染物纳管量核算一览表      单位：t/a</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709"/>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污染因子</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厂区总排口实际排放总量</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化学需氧量</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0.2556</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氨氮</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0.0256</w:t>
            </w:r>
          </w:p>
        </w:tc>
        <w:tc>
          <w:tcPr>
            <w:tcW w:w="27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0.282</w:t>
            </w:r>
          </w:p>
        </w:tc>
      </w:tr>
    </w:tbl>
    <w:p>
      <w:pPr>
        <w:pStyle w:val="2"/>
        <w:keepNext/>
        <w:keepLines/>
        <w:pageBreakBefore w:val="0"/>
        <w:widowControl w:val="0"/>
        <w:numPr>
          <w:ilvl w:val="0"/>
          <w:numId w:val="3"/>
        </w:numPr>
        <w:kinsoku/>
        <w:wordWrap/>
        <w:overflowPunct/>
        <w:topLinePunct w:val="0"/>
        <w:autoSpaceDE/>
        <w:autoSpaceDN/>
        <w:bidi w:val="0"/>
        <w:adjustRightInd/>
        <w:snapToGrid/>
        <w:spacing w:beforeLines="0" w:afterLines="0" w:line="480" w:lineRule="exact"/>
        <w:textAlignment w:val="auto"/>
      </w:pPr>
      <w:bookmarkStart w:id="504" w:name="_Toc23481"/>
      <w:bookmarkStart w:id="505" w:name="_Toc151"/>
      <w:bookmarkStart w:id="506" w:name="_Toc29967"/>
      <w:bookmarkStart w:id="507" w:name="_Toc6785"/>
      <w:bookmarkStart w:id="508" w:name="_Toc22745"/>
      <w:bookmarkStart w:id="509" w:name="_Toc26152"/>
      <w:bookmarkStart w:id="510" w:name="_Toc10189"/>
      <w:bookmarkStart w:id="511" w:name="_Toc20719"/>
      <w:bookmarkStart w:id="512" w:name="_Toc6178"/>
      <w:bookmarkStart w:id="513" w:name="_Toc16101"/>
      <w:bookmarkStart w:id="514" w:name="_Toc7100"/>
      <w:bookmarkStart w:id="515" w:name="_Toc30136"/>
      <w:r>
        <w:t>验收监测结论</w:t>
      </w:r>
      <w:bookmarkEnd w:id="504"/>
      <w:bookmarkEnd w:id="505"/>
      <w:bookmarkEnd w:id="506"/>
      <w:bookmarkEnd w:id="507"/>
      <w:bookmarkEnd w:id="508"/>
      <w:bookmarkEnd w:id="509"/>
      <w:bookmarkEnd w:id="510"/>
      <w:bookmarkEnd w:id="511"/>
      <w:bookmarkEnd w:id="512"/>
      <w:bookmarkEnd w:id="513"/>
      <w:bookmarkEnd w:id="514"/>
      <w:bookmarkEnd w:id="515"/>
    </w:p>
    <w:p>
      <w:pPr>
        <w:pStyle w:val="3"/>
        <w:keepNext/>
        <w:keepLines/>
        <w:pageBreakBefore w:val="0"/>
        <w:widowControl w:val="0"/>
        <w:kinsoku/>
        <w:wordWrap/>
        <w:overflowPunct/>
        <w:topLinePunct w:val="0"/>
        <w:autoSpaceDE/>
        <w:autoSpaceDN/>
        <w:bidi w:val="0"/>
        <w:adjustRightInd/>
        <w:snapToGrid/>
        <w:spacing w:beforeLines="0" w:afterLines="0" w:line="480" w:lineRule="exact"/>
        <w:textAlignment w:val="auto"/>
      </w:pPr>
      <w:bookmarkStart w:id="516" w:name="_Toc22038"/>
      <w:bookmarkStart w:id="517" w:name="_Toc22123"/>
      <w:bookmarkStart w:id="518" w:name="_Toc16007"/>
      <w:bookmarkStart w:id="519" w:name="_Toc5207"/>
      <w:bookmarkStart w:id="520" w:name="_Toc7106"/>
      <w:bookmarkStart w:id="521" w:name="_Toc14353"/>
      <w:bookmarkStart w:id="522" w:name="_Toc19661"/>
      <w:bookmarkStart w:id="523" w:name="_Toc5795"/>
      <w:bookmarkStart w:id="524" w:name="_Toc17526"/>
      <w:bookmarkStart w:id="525" w:name="_Toc14324"/>
      <w:bookmarkStart w:id="526" w:name="_Toc27756"/>
      <w:bookmarkStart w:id="527" w:name="_Toc30463"/>
      <w:r>
        <w:t>10.1 环境保护设施调试效果</w:t>
      </w:r>
      <w:bookmarkEnd w:id="516"/>
      <w:bookmarkEnd w:id="517"/>
      <w:bookmarkEnd w:id="518"/>
      <w:bookmarkEnd w:id="519"/>
      <w:bookmarkEnd w:id="520"/>
      <w:bookmarkEnd w:id="521"/>
      <w:bookmarkEnd w:id="522"/>
      <w:bookmarkEnd w:id="523"/>
      <w:bookmarkEnd w:id="524"/>
      <w:bookmarkEnd w:id="525"/>
      <w:bookmarkEnd w:id="526"/>
      <w:bookmarkEnd w:id="527"/>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cs="Times New Roman"/>
          <w:bCs/>
          <w:color w:val="auto"/>
        </w:rPr>
      </w:pPr>
      <w:bookmarkStart w:id="528" w:name="_Toc1289"/>
      <w:bookmarkStart w:id="529" w:name="_Toc7619"/>
      <w:bookmarkStart w:id="530" w:name="_Toc24198"/>
      <w:bookmarkStart w:id="531" w:name="_Toc4100"/>
      <w:bookmarkStart w:id="532" w:name="_Toc781"/>
      <w:bookmarkStart w:id="533" w:name="_Toc18855"/>
      <w:bookmarkStart w:id="534" w:name="_Toc31991"/>
      <w:bookmarkStart w:id="535" w:name="_Toc23100"/>
      <w:bookmarkStart w:id="536" w:name="_Toc23542"/>
      <w:bookmarkStart w:id="537" w:name="_Toc28018"/>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keepNext w:val="0"/>
        <w:keepLines w:val="0"/>
        <w:pageBreakBefore w:val="0"/>
        <w:widowControl w:val="0"/>
        <w:kinsoku/>
        <w:wordWrap w:val="0"/>
        <w:overflowPunct/>
        <w:topLinePunct w:val="0"/>
        <w:autoSpaceDE/>
        <w:autoSpaceDN/>
        <w:bidi w:val="0"/>
        <w:adjustRightInd/>
        <w:snapToGrid/>
        <w:ind w:firstLine="480"/>
        <w:textAlignment w:val="auto"/>
        <w:rPr>
          <w:rFonts w:hint="eastAsia" w:cs="Times New Roman"/>
          <w:color w:val="000000" w:themeColor="text1"/>
          <w:vertAlign w:val="baseline"/>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hint="eastAsia" w:ascii="Times New Roman" w:hAnsi="Times New Roman" w:cs="Times New Roman"/>
          <w:color w:val="000000" w:themeColor="text1"/>
          <w14:textFill>
            <w14:solidFill>
              <w14:schemeClr w14:val="tx1"/>
            </w14:solidFill>
          </w14:textFill>
        </w:rPr>
        <w:t>监</w:t>
      </w:r>
      <w:r>
        <w:rPr>
          <w:rFonts w:ascii="Times New Roman" w:hAnsi="Times New Roman" w:cs="Times New Roman"/>
          <w:color w:val="000000" w:themeColor="text1"/>
          <w14:textFill>
            <w14:solidFill>
              <w14:schemeClr w14:val="tx1"/>
            </w14:solidFill>
          </w14:textFill>
        </w:rPr>
        <w:t>测结果可知，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甲苯、二甲苯排放浓度</w:t>
      </w:r>
    </w:p>
    <w:p>
      <w:pPr>
        <w:ind w:firstLine="480"/>
        <w:rPr>
          <w:rFonts w:cs="Times New Roman"/>
          <w:color w:val="000000" w:themeColor="text1"/>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食堂油烟排放浓度在0.33-0.37</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r>
        <w:rPr>
          <w:rFonts w:hint="eastAsia" w:cs="Times New Roman"/>
          <w:color w:val="000000" w:themeColor="text1"/>
          <w14:textFill>
            <w14:solidFill>
              <w14:schemeClr w14:val="tx1"/>
            </w14:solidFill>
          </w14:textFill>
        </w:rPr>
        <w:t>本项目无组织废气中，颗粒物浓度最大值为</w:t>
      </w:r>
      <w:r>
        <w:rPr>
          <w:rFonts w:hint="eastAsia" w:cs="Times New Roman"/>
          <w:color w:val="000000" w:themeColor="text1"/>
          <w:lang w:val="en-US" w:eastAsia="zh-CN"/>
          <w14:textFill>
            <w14:solidFill>
              <w14:schemeClr w14:val="tx1"/>
            </w14:solidFill>
          </w14:textFill>
        </w:rPr>
        <w:t>0.361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eastAsia" w:cs="Times New Roman"/>
          <w:color w:val="000000" w:themeColor="text1"/>
          <w14:textFill>
            <w14:solidFill>
              <w14:schemeClr w14:val="tx1"/>
            </w14:solidFill>
          </w14:textFill>
        </w:rPr>
        <w:t>最大浓度为</w:t>
      </w:r>
      <w:r>
        <w:rPr>
          <w:rFonts w:hint="eastAsia" w:cs="Times New Roman"/>
          <w:color w:val="000000" w:themeColor="text1"/>
          <w:lang w:val="en-US" w:eastAsia="zh-CN"/>
          <w14:textFill>
            <w14:solidFill>
              <w14:schemeClr w14:val="tx1"/>
            </w14:solidFill>
          </w14:textFill>
        </w:rPr>
        <w:t>1.11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苯未检出，甲苯最大浓度为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cs="Times New Roman"/>
          <w:color w:val="000000" w:themeColor="text1"/>
          <w14:textFill>
            <w14:solidFill>
              <w14:schemeClr w14:val="tx1"/>
            </w14:solidFill>
          </w14:textFill>
        </w:rPr>
        <w:t>。</w:t>
      </w:r>
    </w:p>
    <w:bookmarkEnd w:id="528"/>
    <w:bookmarkEnd w:id="529"/>
    <w:bookmarkEnd w:id="530"/>
    <w:bookmarkEnd w:id="531"/>
    <w:bookmarkEnd w:id="532"/>
    <w:bookmarkEnd w:id="533"/>
    <w:bookmarkEnd w:id="534"/>
    <w:bookmarkEnd w:id="535"/>
    <w:bookmarkEnd w:id="536"/>
    <w:bookmarkEnd w:id="537"/>
    <w:p>
      <w:pPr>
        <w:keepNext w:val="0"/>
        <w:keepLines w:val="0"/>
        <w:pageBreakBefore w:val="0"/>
        <w:widowControl w:val="0"/>
        <w:kinsoku/>
        <w:wordWrap/>
        <w:overflowPunct/>
        <w:topLinePunct w:val="0"/>
        <w:autoSpaceDE/>
        <w:autoSpaceDN/>
        <w:bidi w:val="0"/>
        <w:snapToGrid w:val="0"/>
        <w:spacing w:line="480" w:lineRule="exact"/>
        <w:ind w:firstLine="480"/>
        <w:textAlignment w:val="auto"/>
        <w:rPr>
          <w:rFonts w:cs="Times New Roman"/>
          <w:color w:val="000000" w:themeColor="text1"/>
          <w14:textFill>
            <w14:solidFill>
              <w14:schemeClr w14:val="tx1"/>
            </w14:solidFill>
          </w14:textFill>
        </w:rPr>
      </w:pPr>
      <w:bookmarkStart w:id="538" w:name="_Toc14224"/>
      <w:bookmarkStart w:id="539" w:name="_Toc8939"/>
      <w:bookmarkStart w:id="540" w:name="_Toc24194"/>
      <w:bookmarkStart w:id="541" w:name="_Toc5350"/>
      <w:bookmarkStart w:id="542" w:name="_Toc31051"/>
      <w:bookmarkStart w:id="543" w:name="_Toc27086"/>
      <w:bookmarkStart w:id="544" w:name="_Toc17179"/>
      <w:bookmarkStart w:id="545" w:name="_Toc25255"/>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546" w:name="_Toc17173"/>
      <w:r>
        <w:t>11 建设项目环境保护“三同时”竣工验收登记表</w:t>
      </w:r>
      <w:bookmarkEnd w:id="538"/>
      <w:bookmarkEnd w:id="539"/>
      <w:bookmarkEnd w:id="540"/>
      <w:bookmarkEnd w:id="541"/>
      <w:bookmarkEnd w:id="542"/>
      <w:bookmarkEnd w:id="543"/>
      <w:bookmarkEnd w:id="544"/>
      <w:bookmarkEnd w:id="545"/>
      <w:bookmarkEnd w:id="546"/>
    </w:p>
    <w:p>
      <w:pPr>
        <w:ind w:firstLine="562"/>
        <w:jc w:val="center"/>
        <w:rPr>
          <w:rFonts w:eastAsia="黑体" w:cs="Times New Roman"/>
          <w:b/>
          <w:sz w:val="28"/>
        </w:rPr>
      </w:pPr>
      <w:r>
        <w:rPr>
          <w:rFonts w:eastAsia="黑体" w:cs="Times New Roman"/>
          <w:b/>
          <w:sz w:val="28"/>
        </w:rPr>
        <w:t>建设项目工程竣工环境保护“三同时”验收登记表</w:t>
      </w:r>
    </w:p>
    <w:p>
      <w:pPr>
        <w:ind w:firstLine="480"/>
        <w:rPr>
          <w:rFonts w:cs="Times New Roman"/>
          <w:szCs w:val="21"/>
        </w:rPr>
      </w:pPr>
      <w:r>
        <w:rPr>
          <w:rFonts w:cs="Times New Roman"/>
          <w:szCs w:val="21"/>
        </w:rPr>
        <w:t>填表单位（盖章）：</w:t>
      </w:r>
      <w:r>
        <w:rPr>
          <w:rFonts w:cs="Times New Roman"/>
          <w:b w:val="0"/>
        </w:rPr>
        <w:t>纽科伦（新乡）起重机有限公司</w:t>
      </w:r>
      <w:r>
        <w:rPr>
          <w:rFonts w:hint="eastAsia" w:cs="Times New Roman"/>
        </w:rPr>
        <w:t xml:space="preserve"> </w:t>
      </w:r>
      <w:r>
        <w:rPr>
          <w:rFonts w:cs="Times New Roman"/>
          <w:szCs w:val="21"/>
        </w:rPr>
        <w:t xml:space="preserve">                         填表人（签字）：                                    项目经办人（签字）：        </w:t>
      </w:r>
    </w:p>
    <w:tbl>
      <w:tblPr>
        <w:tblStyle w:val="21"/>
        <w:tblW w:w="21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88"/>
        <w:gridCol w:w="946"/>
        <w:gridCol w:w="992"/>
        <w:gridCol w:w="1701"/>
        <w:gridCol w:w="1308"/>
        <w:gridCol w:w="1471"/>
        <w:gridCol w:w="1431"/>
        <w:gridCol w:w="1475"/>
        <w:gridCol w:w="1473"/>
        <w:gridCol w:w="1489"/>
        <w:gridCol w:w="1276"/>
        <w:gridCol w:w="1927"/>
        <w:gridCol w:w="399"/>
        <w:gridCol w:w="934"/>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restart"/>
            <w:shd w:val="clear" w:color="auto" w:fill="auto"/>
            <w:textDirection w:val="tbRlV"/>
            <w:vAlign w:val="center"/>
          </w:tcPr>
          <w:p>
            <w:pPr>
              <w:pStyle w:val="35"/>
              <w:ind w:firstLine="1807" w:firstLineChars="1000"/>
              <w:jc w:val="both"/>
              <w:rPr>
                <w:rFonts w:cs="Times New Roman"/>
              </w:rPr>
            </w:pPr>
            <w:r>
              <w:rPr>
                <w:rFonts w:cs="Times New Roman"/>
              </w:rPr>
              <w:t>建  设   项   目</w:t>
            </w:r>
          </w:p>
        </w:tc>
        <w:tc>
          <w:tcPr>
            <w:tcW w:w="2434" w:type="dxa"/>
            <w:gridSpan w:val="2"/>
            <w:shd w:val="clear" w:color="auto" w:fill="auto"/>
            <w:vAlign w:val="center"/>
          </w:tcPr>
          <w:p>
            <w:pPr>
              <w:pStyle w:val="35"/>
              <w:rPr>
                <w:rFonts w:cs="Times New Roman"/>
              </w:rPr>
            </w:pPr>
            <w:r>
              <w:rPr>
                <w:rFonts w:cs="Times New Roman"/>
              </w:rPr>
              <w:t>项目名称</w:t>
            </w:r>
          </w:p>
        </w:tc>
        <w:tc>
          <w:tcPr>
            <w:tcW w:w="6903" w:type="dxa"/>
            <w:gridSpan w:val="5"/>
            <w:shd w:val="clear" w:color="auto" w:fill="auto"/>
            <w:vAlign w:val="center"/>
          </w:tcPr>
          <w:p>
            <w:pPr>
              <w:pStyle w:val="35"/>
              <w:rPr>
                <w:rFonts w:cs="Times New Roman"/>
                <w:b w:val="0"/>
              </w:rPr>
            </w:pPr>
            <w:r>
              <w:rPr>
                <w:rFonts w:cs="Times New Roman"/>
                <w:b w:val="0"/>
              </w:rPr>
              <w:t>纽科伦（新乡）起重机有限公司</w:t>
            </w:r>
          </w:p>
        </w:tc>
        <w:tc>
          <w:tcPr>
            <w:tcW w:w="2948" w:type="dxa"/>
            <w:gridSpan w:val="2"/>
            <w:shd w:val="clear" w:color="auto" w:fill="auto"/>
            <w:vAlign w:val="center"/>
          </w:tcPr>
          <w:p>
            <w:pPr>
              <w:pStyle w:val="35"/>
              <w:rPr>
                <w:rFonts w:cs="Times New Roman"/>
              </w:rPr>
            </w:pPr>
            <w:r>
              <w:rPr>
                <w:rFonts w:cs="Times New Roman"/>
              </w:rPr>
              <w:t>项目代码</w:t>
            </w:r>
          </w:p>
        </w:tc>
        <w:tc>
          <w:tcPr>
            <w:tcW w:w="2765" w:type="dxa"/>
            <w:gridSpan w:val="2"/>
            <w:tcBorders>
              <w:right w:val="single" w:color="auto" w:sz="4" w:space="0"/>
            </w:tcBorders>
            <w:shd w:val="clear" w:color="auto" w:fill="auto"/>
            <w:vAlign w:val="center"/>
          </w:tcPr>
          <w:p>
            <w:pPr>
              <w:pStyle w:val="35"/>
              <w:rPr>
                <w:rFonts w:cs="Times New Roman"/>
                <w:b w:val="0"/>
              </w:rPr>
            </w:pPr>
            <w:r>
              <w:rPr>
                <w:rFonts w:cs="Times New Roman"/>
                <w:b w:val="0"/>
              </w:rPr>
              <w:t>2020-410728-34-03-022274</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建设地点</w:t>
            </w:r>
          </w:p>
        </w:tc>
        <w:tc>
          <w:tcPr>
            <w:tcW w:w="3169" w:type="dxa"/>
            <w:gridSpan w:val="4"/>
            <w:tcBorders>
              <w:left w:val="single" w:color="auto" w:sz="4" w:space="0"/>
            </w:tcBorders>
            <w:shd w:val="clear" w:color="auto" w:fill="auto"/>
            <w:vAlign w:val="center"/>
          </w:tcPr>
          <w:p>
            <w:pPr>
              <w:pStyle w:val="35"/>
              <w:rPr>
                <w:rFonts w:cs="Times New Roman"/>
                <w:b w:val="0"/>
              </w:rPr>
            </w:pPr>
            <w:r>
              <w:rPr>
                <w:rFonts w:cs="Times New Roman"/>
                <w:b w:val="0"/>
              </w:rPr>
              <w:t>长垣市河南起重机工业园区巨人大道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行业类别（分类管理名录）</w:t>
            </w:r>
          </w:p>
        </w:tc>
        <w:tc>
          <w:tcPr>
            <w:tcW w:w="6903" w:type="dxa"/>
            <w:gridSpan w:val="5"/>
            <w:shd w:val="clear" w:color="auto" w:fill="auto"/>
            <w:vAlign w:val="center"/>
          </w:tcPr>
          <w:p>
            <w:pPr>
              <w:widowControl/>
              <w:snapToGrid w:val="0"/>
              <w:spacing w:line="240" w:lineRule="auto"/>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三十一</w:t>
            </w:r>
            <w:r>
              <w:rPr>
                <w:rFonts w:cs="Times New Roman"/>
                <w:sz w:val="18"/>
                <w:szCs w:val="18"/>
              </w:rPr>
              <w:t>、</w:t>
            </w:r>
            <w:r>
              <w:rPr>
                <w:rFonts w:hint="eastAsia" w:cs="Times New Roman"/>
                <w:sz w:val="18"/>
                <w:szCs w:val="18"/>
                <w:lang w:val="en-US" w:eastAsia="zh-CN"/>
              </w:rPr>
              <w:t>通用设备制造业</w:t>
            </w:r>
          </w:p>
        </w:tc>
        <w:tc>
          <w:tcPr>
            <w:tcW w:w="2948" w:type="dxa"/>
            <w:gridSpan w:val="2"/>
            <w:shd w:val="clear" w:color="auto" w:fill="auto"/>
            <w:vAlign w:val="center"/>
          </w:tcPr>
          <w:p>
            <w:pPr>
              <w:pStyle w:val="35"/>
              <w:rPr>
                <w:rFonts w:cs="Times New Roman"/>
              </w:rPr>
            </w:pPr>
            <w:r>
              <w:rPr>
                <w:rFonts w:cs="Times New Roman"/>
              </w:rPr>
              <w:t>建设性质</w:t>
            </w:r>
          </w:p>
        </w:tc>
        <w:tc>
          <w:tcPr>
            <w:tcW w:w="8260" w:type="dxa"/>
            <w:gridSpan w:val="8"/>
            <w:shd w:val="clear" w:color="auto" w:fill="auto"/>
            <w:vAlign w:val="center"/>
          </w:tcPr>
          <w:p>
            <w:pPr>
              <w:pStyle w:val="35"/>
              <w:rPr>
                <w:rFonts w:cs="Times New Roman"/>
              </w:rPr>
            </w:pPr>
            <w:r>
              <w:rPr>
                <w:rFonts w:cs="Times New Roman"/>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设计生产能力</w:t>
            </w:r>
          </w:p>
        </w:tc>
        <w:tc>
          <w:tcPr>
            <w:tcW w:w="6903" w:type="dxa"/>
            <w:gridSpan w:val="5"/>
            <w:shd w:val="clear" w:color="auto" w:fill="auto"/>
            <w:vAlign w:val="center"/>
          </w:tcPr>
          <w:p>
            <w:pPr>
              <w:pStyle w:val="35"/>
              <w:rPr>
                <w:rFonts w:hint="default" w:cs="Times New Roman"/>
                <w:b w:val="0"/>
                <w:lang w:val="en-US"/>
              </w:rPr>
            </w:pPr>
            <w:r>
              <w:rPr>
                <w:rFonts w:hint="eastAsia" w:cs="Times New Roman"/>
                <w:b w:val="0"/>
                <w:lang w:val="en-US" w:eastAsia="zh-CN"/>
              </w:rPr>
              <w:t>年产2万台起重机、100台立体车库、3万台电动葫芦及配件</w:t>
            </w:r>
          </w:p>
        </w:tc>
        <w:tc>
          <w:tcPr>
            <w:tcW w:w="2948" w:type="dxa"/>
            <w:gridSpan w:val="2"/>
            <w:shd w:val="clear" w:color="auto" w:fill="auto"/>
            <w:vAlign w:val="center"/>
          </w:tcPr>
          <w:p>
            <w:pPr>
              <w:pStyle w:val="35"/>
              <w:rPr>
                <w:rFonts w:cs="Times New Roman"/>
              </w:rPr>
            </w:pPr>
            <w:r>
              <w:rPr>
                <w:rFonts w:cs="Times New Roman"/>
              </w:rPr>
              <w:t>实际生产能力</w:t>
            </w:r>
          </w:p>
        </w:tc>
        <w:tc>
          <w:tcPr>
            <w:tcW w:w="2765" w:type="dxa"/>
            <w:gridSpan w:val="2"/>
            <w:tcBorders>
              <w:right w:val="single" w:color="auto" w:sz="4" w:space="0"/>
            </w:tcBorders>
            <w:shd w:val="clear" w:color="auto" w:fill="auto"/>
            <w:vAlign w:val="center"/>
          </w:tcPr>
          <w:p>
            <w:pPr>
              <w:pStyle w:val="35"/>
              <w:keepNext w:val="0"/>
              <w:keepLines w:val="0"/>
              <w:pageBreakBefore w:val="0"/>
              <w:widowControl w:val="0"/>
              <w:kinsoku/>
              <w:wordWrap/>
              <w:overflowPunct/>
              <w:topLinePunct w:val="0"/>
              <w:autoSpaceDE/>
              <w:autoSpaceDN/>
              <w:bidi w:val="0"/>
              <w:adjustRightInd/>
              <w:snapToGrid w:val="0"/>
              <w:textAlignment w:val="auto"/>
              <w:rPr>
                <w:rFonts w:hint="default" w:cs="Times New Roman"/>
                <w:b w:val="0"/>
                <w:lang w:val="en-US"/>
              </w:rPr>
            </w:pPr>
            <w:r>
              <w:rPr>
                <w:rFonts w:hint="eastAsia" w:cs="Times New Roman"/>
                <w:b w:val="0"/>
                <w:lang w:val="en-US" w:eastAsia="zh-CN"/>
              </w:rPr>
              <w:t>2万台起重机</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环评单位</w:t>
            </w:r>
          </w:p>
        </w:tc>
        <w:tc>
          <w:tcPr>
            <w:tcW w:w="3169" w:type="dxa"/>
            <w:gridSpan w:val="4"/>
            <w:tcBorders>
              <w:left w:val="single" w:color="auto" w:sz="4" w:space="0"/>
            </w:tcBorders>
            <w:shd w:val="clear" w:color="auto" w:fill="auto"/>
            <w:vAlign w:val="center"/>
          </w:tcPr>
          <w:p>
            <w:pPr>
              <w:pStyle w:val="35"/>
              <w:rPr>
                <w:rFonts w:cs="Times New Roman"/>
                <w:b w:val="0"/>
              </w:rPr>
            </w:pPr>
            <w:r>
              <w:rPr>
                <w:rFonts w:hint="eastAsia" w:cs="Times New Roman"/>
                <w:b w:val="0"/>
              </w:rPr>
              <w:t>广州市环境保护工程设计院有限公司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环评文件审批机关</w:t>
            </w:r>
          </w:p>
        </w:tc>
        <w:tc>
          <w:tcPr>
            <w:tcW w:w="6903" w:type="dxa"/>
            <w:gridSpan w:val="5"/>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长垣县环境保护局</w:t>
            </w:r>
          </w:p>
        </w:tc>
        <w:tc>
          <w:tcPr>
            <w:tcW w:w="2948" w:type="dxa"/>
            <w:gridSpan w:val="2"/>
            <w:shd w:val="clear" w:color="auto" w:fill="auto"/>
            <w:vAlign w:val="center"/>
          </w:tcPr>
          <w:p>
            <w:pPr>
              <w:pStyle w:val="35"/>
              <w:rPr>
                <w:rFonts w:cs="Times New Roman"/>
              </w:rPr>
            </w:pPr>
            <w:r>
              <w:rPr>
                <w:rFonts w:cs="Times New Roman"/>
              </w:rPr>
              <w:t>审批文号</w:t>
            </w:r>
          </w:p>
        </w:tc>
        <w:tc>
          <w:tcPr>
            <w:tcW w:w="2765" w:type="dxa"/>
            <w:gridSpan w:val="2"/>
            <w:tcBorders>
              <w:right w:val="single" w:color="auto" w:sz="4" w:space="0"/>
            </w:tcBorders>
            <w:shd w:val="clear" w:color="auto" w:fill="auto"/>
            <w:vAlign w:val="center"/>
          </w:tcPr>
          <w:p>
            <w:pPr>
              <w:pStyle w:val="35"/>
              <w:rPr>
                <w:rFonts w:cs="Times New Roman"/>
                <w:b w:val="0"/>
              </w:rPr>
            </w:pPr>
            <w:r>
              <w:rPr>
                <w:rFonts w:hint="eastAsia" w:cs="Times New Roman"/>
                <w:b w:val="0"/>
                <w:bCs/>
              </w:rPr>
              <w:t>长环【</w:t>
            </w:r>
            <w:r>
              <w:rPr>
                <w:rFonts w:hint="eastAsia" w:cs="Times New Roman"/>
                <w:b w:val="0"/>
                <w:bCs/>
                <w:lang w:val="en-US" w:eastAsia="zh-CN"/>
              </w:rPr>
              <w:t>2019</w:t>
            </w:r>
            <w:r>
              <w:rPr>
                <w:rFonts w:hint="eastAsia" w:cs="Times New Roman"/>
                <w:b w:val="0"/>
                <w:bCs/>
              </w:rPr>
              <w:t>】</w:t>
            </w:r>
            <w:r>
              <w:rPr>
                <w:rFonts w:hint="eastAsia" w:cs="Times New Roman"/>
                <w:b w:val="0"/>
                <w:bCs/>
                <w:lang w:val="en-US" w:eastAsia="zh-CN"/>
              </w:rPr>
              <w:t>32</w:t>
            </w:r>
            <w:r>
              <w:rPr>
                <w:rFonts w:hint="eastAsia" w:cs="Times New Roman"/>
                <w:b w:val="0"/>
                <w:bCs/>
              </w:rPr>
              <w:t>号</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环评文件类型</w:t>
            </w:r>
          </w:p>
        </w:tc>
        <w:tc>
          <w:tcPr>
            <w:tcW w:w="3169" w:type="dxa"/>
            <w:gridSpan w:val="4"/>
            <w:tcBorders>
              <w:left w:val="single" w:color="auto" w:sz="4" w:space="0"/>
            </w:tcBorders>
            <w:shd w:val="clear" w:color="auto" w:fill="auto"/>
            <w:vAlign w:val="center"/>
          </w:tcPr>
          <w:p>
            <w:pPr>
              <w:pStyle w:val="35"/>
              <w:rPr>
                <w:rFonts w:cs="Times New Roman"/>
                <w:b w:val="0"/>
              </w:rPr>
            </w:pPr>
            <w:r>
              <w:rPr>
                <w:rFonts w:cs="Times New Roman"/>
                <w:b w:val="0"/>
              </w:rPr>
              <w:t>环评</w:t>
            </w:r>
            <w:r>
              <w:rPr>
                <w:rFonts w:hint="eastAsia" w:cs="Times New Roman"/>
                <w:b w:val="0"/>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开工日期</w:t>
            </w:r>
          </w:p>
        </w:tc>
        <w:tc>
          <w:tcPr>
            <w:tcW w:w="6903" w:type="dxa"/>
            <w:gridSpan w:val="5"/>
            <w:shd w:val="clear" w:color="auto" w:fill="auto"/>
            <w:vAlign w:val="center"/>
          </w:tcPr>
          <w:p>
            <w:pPr>
              <w:pStyle w:val="35"/>
              <w:rPr>
                <w:rFonts w:cs="Times New Roman"/>
                <w:b w:val="0"/>
              </w:rPr>
            </w:pPr>
            <w:r>
              <w:rPr>
                <w:rFonts w:cs="Times New Roman"/>
                <w:b w:val="0"/>
              </w:rPr>
              <w:t>20</w:t>
            </w:r>
            <w:r>
              <w:rPr>
                <w:rFonts w:hint="eastAsia" w:cs="Times New Roman"/>
                <w:b w:val="0"/>
                <w:lang w:val="en-US" w:eastAsia="zh-CN"/>
              </w:rPr>
              <w:t>19</w:t>
            </w:r>
            <w:r>
              <w:rPr>
                <w:rFonts w:cs="Times New Roman"/>
                <w:b w:val="0"/>
              </w:rPr>
              <w:t>年</w:t>
            </w:r>
            <w:r>
              <w:rPr>
                <w:rFonts w:hint="eastAsia" w:cs="Times New Roman"/>
                <w:b w:val="0"/>
                <w:lang w:val="en-US" w:eastAsia="zh-CN"/>
              </w:rPr>
              <w:t>09</w:t>
            </w:r>
            <w:r>
              <w:rPr>
                <w:rFonts w:cs="Times New Roman"/>
                <w:b w:val="0"/>
              </w:rPr>
              <w:t>月</w:t>
            </w:r>
          </w:p>
        </w:tc>
        <w:tc>
          <w:tcPr>
            <w:tcW w:w="2948" w:type="dxa"/>
            <w:gridSpan w:val="2"/>
            <w:shd w:val="clear" w:color="auto" w:fill="auto"/>
            <w:vAlign w:val="center"/>
          </w:tcPr>
          <w:p>
            <w:pPr>
              <w:pStyle w:val="35"/>
              <w:rPr>
                <w:rFonts w:cs="Times New Roman"/>
              </w:rPr>
            </w:pPr>
            <w:r>
              <w:rPr>
                <w:rFonts w:cs="Times New Roman"/>
              </w:rPr>
              <w:t>竣工日期</w:t>
            </w:r>
          </w:p>
        </w:tc>
        <w:tc>
          <w:tcPr>
            <w:tcW w:w="2765" w:type="dxa"/>
            <w:gridSpan w:val="2"/>
            <w:shd w:val="clear" w:color="auto" w:fill="auto"/>
            <w:vAlign w:val="center"/>
          </w:tcPr>
          <w:p>
            <w:pPr>
              <w:pStyle w:val="35"/>
              <w:rPr>
                <w:rFonts w:cs="Times New Roman"/>
                <w:b w:val="0"/>
              </w:rPr>
            </w:pPr>
            <w:r>
              <w:rPr>
                <w:rFonts w:cs="Times New Roman"/>
                <w:b w:val="0"/>
              </w:rPr>
              <w:t>20</w:t>
            </w:r>
            <w:r>
              <w:rPr>
                <w:rFonts w:hint="eastAsia" w:cs="Times New Roman"/>
                <w:b w:val="0"/>
                <w:lang w:val="en-US" w:eastAsia="zh-CN"/>
              </w:rPr>
              <w:t>23</w:t>
            </w:r>
            <w:r>
              <w:rPr>
                <w:rFonts w:cs="Times New Roman"/>
                <w:b w:val="0"/>
              </w:rPr>
              <w:t>年</w:t>
            </w:r>
            <w:r>
              <w:rPr>
                <w:rFonts w:hint="eastAsia" w:cs="Times New Roman"/>
                <w:b w:val="0"/>
                <w:lang w:val="en-US" w:eastAsia="zh-CN"/>
              </w:rPr>
              <w:t>03</w:t>
            </w:r>
            <w:r>
              <w:rPr>
                <w:rFonts w:cs="Times New Roman"/>
                <w:b w:val="0"/>
              </w:rPr>
              <w:t>月</w:t>
            </w:r>
          </w:p>
        </w:tc>
        <w:tc>
          <w:tcPr>
            <w:tcW w:w="2326" w:type="dxa"/>
            <w:gridSpan w:val="2"/>
            <w:tcBorders>
              <w:right w:val="single" w:color="auto" w:sz="4" w:space="0"/>
            </w:tcBorders>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排污许可证申领时间</w:t>
            </w:r>
          </w:p>
        </w:tc>
        <w:tc>
          <w:tcPr>
            <w:tcW w:w="3169" w:type="dxa"/>
            <w:gridSpan w:val="4"/>
            <w:tcBorders>
              <w:left w:val="single" w:color="auto" w:sz="4" w:space="0"/>
            </w:tcBorders>
            <w:shd w:val="clear" w:color="auto" w:fill="auto"/>
            <w:vAlign w:val="center"/>
          </w:tcPr>
          <w:p>
            <w:pPr>
              <w:pStyle w:val="35"/>
              <w:rPr>
                <w:rFonts w:hint="default" w:cs="Times New Roman" w:eastAsiaTheme="minorEastAsia"/>
                <w:b w:val="0"/>
                <w:color w:val="000000" w:themeColor="text1"/>
                <w:lang w:val="en-US" w:eastAsia="zh-CN"/>
                <w14:textFill>
                  <w14:solidFill>
                    <w14:schemeClr w14:val="tx1"/>
                  </w14:solidFill>
                </w14:textFill>
              </w:rPr>
            </w:pPr>
            <w:r>
              <w:rPr>
                <w:rFonts w:hint="eastAsia" w:cs="Times New Roman"/>
                <w:b w:val="0"/>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环保设施设计单位</w:t>
            </w:r>
          </w:p>
        </w:tc>
        <w:tc>
          <w:tcPr>
            <w:tcW w:w="6903" w:type="dxa"/>
            <w:gridSpan w:val="5"/>
            <w:shd w:val="clear" w:color="auto" w:fill="auto"/>
            <w:vAlign w:val="center"/>
          </w:tcPr>
          <w:p>
            <w:pPr>
              <w:pStyle w:val="35"/>
              <w:rPr>
                <w:rFonts w:cs="Times New Roman"/>
                <w:b w:val="0"/>
              </w:rPr>
            </w:pPr>
            <w:r>
              <w:rPr>
                <w:rFonts w:hint="eastAsia" w:cs="Times New Roman"/>
                <w:b w:val="0"/>
                <w:lang w:val="en-US" w:eastAsia="zh-CN"/>
              </w:rPr>
              <w:t>/</w:t>
            </w:r>
          </w:p>
        </w:tc>
        <w:tc>
          <w:tcPr>
            <w:tcW w:w="2948" w:type="dxa"/>
            <w:gridSpan w:val="2"/>
            <w:tcBorders>
              <w:bottom w:val="single" w:color="auto" w:sz="4" w:space="0"/>
            </w:tcBorders>
            <w:shd w:val="clear" w:color="auto" w:fill="auto"/>
            <w:vAlign w:val="center"/>
          </w:tcPr>
          <w:p>
            <w:pPr>
              <w:pStyle w:val="35"/>
              <w:rPr>
                <w:rFonts w:cs="Times New Roman"/>
              </w:rPr>
            </w:pPr>
            <w:r>
              <w:rPr>
                <w:rFonts w:cs="Times New Roman"/>
              </w:rPr>
              <w:t>环保设施施工单位</w:t>
            </w:r>
          </w:p>
        </w:tc>
        <w:tc>
          <w:tcPr>
            <w:tcW w:w="2765" w:type="dxa"/>
            <w:gridSpan w:val="2"/>
            <w:shd w:val="clear" w:color="auto" w:fill="auto"/>
            <w:vAlign w:val="center"/>
          </w:tcPr>
          <w:p>
            <w:pPr>
              <w:pStyle w:val="35"/>
              <w:rPr>
                <w:rFonts w:cs="Times New Roman"/>
                <w:b w:val="0"/>
              </w:rPr>
            </w:pPr>
            <w:r>
              <w:rPr>
                <w:rFonts w:hint="eastAsia" w:cs="Times New Roman"/>
                <w:b w:val="0"/>
                <w:lang w:val="en-US" w:eastAsia="zh-CN"/>
              </w:rPr>
              <w:t>/</w:t>
            </w:r>
          </w:p>
        </w:tc>
        <w:tc>
          <w:tcPr>
            <w:tcW w:w="2326"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本工程排污许可证编号</w:t>
            </w:r>
          </w:p>
        </w:tc>
        <w:tc>
          <w:tcPr>
            <w:tcW w:w="3169" w:type="dxa"/>
            <w:gridSpan w:val="4"/>
            <w:shd w:val="clear" w:color="auto" w:fill="auto"/>
            <w:vAlign w:val="center"/>
          </w:tcPr>
          <w:p>
            <w:pPr>
              <w:pStyle w:val="35"/>
              <w:rPr>
                <w:rFonts w:cs="Times New Roman"/>
                <w:b w:val="0"/>
                <w:color w:val="000000" w:themeColor="text1"/>
                <w14:textFill>
                  <w14:solidFill>
                    <w14:schemeClr w14:val="tx1"/>
                  </w14:solidFill>
                </w14:textFill>
              </w:rPr>
            </w:pPr>
            <w:r>
              <w:rPr>
                <w:rFonts w:cs="Times New Roman"/>
                <w:b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验收单位</w:t>
            </w:r>
          </w:p>
        </w:tc>
        <w:tc>
          <w:tcPr>
            <w:tcW w:w="6903" w:type="dxa"/>
            <w:gridSpan w:val="5"/>
            <w:shd w:val="clear" w:color="auto" w:fill="auto"/>
            <w:vAlign w:val="center"/>
          </w:tcPr>
          <w:p>
            <w:pPr>
              <w:pStyle w:val="35"/>
              <w:rPr>
                <w:rFonts w:cs="Times New Roman"/>
                <w:b w:val="0"/>
              </w:rPr>
            </w:pPr>
            <w:r>
              <w:rPr>
                <w:rFonts w:cs="Times New Roman"/>
                <w:b w:val="0"/>
              </w:rPr>
              <w:t>纽科伦（新乡）起重机有限公司</w:t>
            </w:r>
            <w:r>
              <w:rPr>
                <w:rFonts w:hint="eastAsia" w:cs="Times New Roman"/>
              </w:rPr>
              <w:t xml:space="preserve"> </w:t>
            </w:r>
          </w:p>
        </w:tc>
        <w:tc>
          <w:tcPr>
            <w:tcW w:w="2948" w:type="dxa"/>
            <w:gridSpan w:val="2"/>
            <w:tcBorders>
              <w:bottom w:val="single" w:color="auto" w:sz="4" w:space="0"/>
            </w:tcBorders>
            <w:shd w:val="clear" w:color="auto" w:fill="auto"/>
            <w:vAlign w:val="center"/>
          </w:tcPr>
          <w:p>
            <w:pPr>
              <w:pStyle w:val="35"/>
              <w:rPr>
                <w:rFonts w:cs="Times New Roman"/>
              </w:rPr>
            </w:pPr>
            <w:r>
              <w:rPr>
                <w:rFonts w:cs="Times New Roman"/>
              </w:rPr>
              <w:t>环保设施监测单位</w:t>
            </w:r>
          </w:p>
        </w:tc>
        <w:tc>
          <w:tcPr>
            <w:tcW w:w="2765" w:type="dxa"/>
            <w:gridSpan w:val="2"/>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河南嘉森环境检测服务有限公司</w:t>
            </w:r>
          </w:p>
        </w:tc>
        <w:tc>
          <w:tcPr>
            <w:tcW w:w="2326" w:type="dxa"/>
            <w:gridSpan w:val="2"/>
            <w:shd w:val="clear" w:color="auto" w:fill="auto"/>
            <w:vAlign w:val="center"/>
          </w:tcPr>
          <w:p>
            <w:pPr>
              <w:pStyle w:val="35"/>
              <w:rPr>
                <w:rFonts w:cs="Times New Roman"/>
              </w:rPr>
            </w:pPr>
            <w:r>
              <w:rPr>
                <w:rFonts w:cs="Times New Roman"/>
              </w:rPr>
              <w:t>验收监测时工况</w:t>
            </w:r>
          </w:p>
        </w:tc>
        <w:tc>
          <w:tcPr>
            <w:tcW w:w="3169" w:type="dxa"/>
            <w:gridSpan w:val="4"/>
            <w:shd w:val="clear" w:color="auto" w:fill="auto"/>
            <w:vAlign w:val="center"/>
          </w:tcPr>
          <w:p>
            <w:pPr>
              <w:pStyle w:val="35"/>
              <w:jc w:val="center"/>
              <w:rPr>
                <w:rFonts w:hint="eastAsia" w:cs="Times New Roman" w:eastAsiaTheme="minorEastAsia"/>
                <w:b w:val="0"/>
                <w:lang w:val="en-US" w:eastAsia="zh-CN"/>
              </w:rPr>
            </w:pPr>
            <w:r>
              <w:rPr>
                <w:rFonts w:hint="eastAsia" w:cs="Times New Roman"/>
                <w:b w:val="0"/>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投资总概算（万元）</w:t>
            </w:r>
          </w:p>
        </w:tc>
        <w:tc>
          <w:tcPr>
            <w:tcW w:w="6903" w:type="dxa"/>
            <w:gridSpan w:val="5"/>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6400</w:t>
            </w:r>
          </w:p>
        </w:tc>
        <w:tc>
          <w:tcPr>
            <w:tcW w:w="2948" w:type="dxa"/>
            <w:gridSpan w:val="2"/>
            <w:shd w:val="clear" w:color="auto" w:fill="auto"/>
            <w:vAlign w:val="center"/>
          </w:tcPr>
          <w:p>
            <w:pPr>
              <w:pStyle w:val="35"/>
              <w:rPr>
                <w:rFonts w:cs="Times New Roman"/>
              </w:rPr>
            </w:pPr>
            <w:r>
              <w:rPr>
                <w:rFonts w:cs="Times New Roman"/>
              </w:rPr>
              <w:t>环保投资总概算（万元）</w:t>
            </w:r>
          </w:p>
        </w:tc>
        <w:tc>
          <w:tcPr>
            <w:tcW w:w="2765" w:type="dxa"/>
            <w:gridSpan w:val="2"/>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1000</w:t>
            </w:r>
          </w:p>
        </w:tc>
        <w:tc>
          <w:tcPr>
            <w:tcW w:w="2326" w:type="dxa"/>
            <w:gridSpan w:val="2"/>
            <w:shd w:val="clear" w:color="auto" w:fill="auto"/>
            <w:vAlign w:val="center"/>
          </w:tcPr>
          <w:p>
            <w:pPr>
              <w:pStyle w:val="35"/>
              <w:rPr>
                <w:rFonts w:cs="Times New Roman"/>
              </w:rPr>
            </w:pPr>
            <w:r>
              <w:rPr>
                <w:rFonts w:cs="Times New Roman"/>
              </w:rPr>
              <w:t>所占比例（%）</w:t>
            </w:r>
          </w:p>
        </w:tc>
        <w:tc>
          <w:tcPr>
            <w:tcW w:w="3169" w:type="dxa"/>
            <w:gridSpan w:val="4"/>
            <w:shd w:val="clear" w:color="auto" w:fill="auto"/>
            <w:vAlign w:val="center"/>
          </w:tcPr>
          <w:p>
            <w:pPr>
              <w:pStyle w:val="35"/>
              <w:ind w:firstLine="1260" w:firstLineChars="700"/>
              <w:jc w:val="both"/>
              <w:rPr>
                <w:rFonts w:cs="Times New Roman"/>
                <w:b w:val="0"/>
              </w:rPr>
            </w:pPr>
            <w:r>
              <w:rPr>
                <w:rFonts w:hint="eastAsia" w:cs="Times New Roman"/>
                <w:b w:val="0"/>
                <w:lang w:val="en-US" w:eastAsia="zh-CN"/>
              </w:rPr>
              <w:t>15.6</w:t>
            </w:r>
            <w:r>
              <w:rPr>
                <w:rFonts w:cs="Times New Roman"/>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实际总投资</w:t>
            </w:r>
          </w:p>
        </w:tc>
        <w:tc>
          <w:tcPr>
            <w:tcW w:w="6903" w:type="dxa"/>
            <w:gridSpan w:val="5"/>
            <w:tcBorders>
              <w:bottom w:val="single" w:color="auto" w:sz="4" w:space="0"/>
            </w:tcBorders>
            <w:shd w:val="clear" w:color="auto" w:fill="auto"/>
            <w:vAlign w:val="center"/>
          </w:tcPr>
          <w:p>
            <w:pPr>
              <w:pStyle w:val="35"/>
              <w:rPr>
                <w:rFonts w:cs="Times New Roman"/>
                <w:b w:val="0"/>
              </w:rPr>
            </w:pPr>
            <w:r>
              <w:rPr>
                <w:rFonts w:hint="eastAsia" w:cs="Times New Roman"/>
                <w:b w:val="0"/>
                <w:lang w:val="en-US" w:eastAsia="zh-CN"/>
              </w:rPr>
              <w:t>6400</w:t>
            </w:r>
          </w:p>
        </w:tc>
        <w:tc>
          <w:tcPr>
            <w:tcW w:w="2948" w:type="dxa"/>
            <w:gridSpan w:val="2"/>
            <w:tcBorders>
              <w:top w:val="single" w:color="auto" w:sz="4" w:space="0"/>
              <w:bottom w:val="single" w:color="auto" w:sz="4" w:space="0"/>
            </w:tcBorders>
            <w:shd w:val="clear" w:color="auto" w:fill="auto"/>
            <w:vAlign w:val="center"/>
          </w:tcPr>
          <w:p>
            <w:pPr>
              <w:pStyle w:val="35"/>
              <w:rPr>
                <w:rFonts w:cs="Times New Roman"/>
              </w:rPr>
            </w:pPr>
            <w:r>
              <w:rPr>
                <w:rFonts w:cs="Times New Roman"/>
              </w:rPr>
              <w:t>实际环保投资（万元）*</w:t>
            </w:r>
          </w:p>
        </w:tc>
        <w:tc>
          <w:tcPr>
            <w:tcW w:w="2765" w:type="dxa"/>
            <w:gridSpan w:val="2"/>
            <w:tcBorders>
              <w:bottom w:val="single" w:color="auto" w:sz="4" w:space="0"/>
            </w:tcBorders>
            <w:shd w:val="clear" w:color="auto" w:fill="auto"/>
            <w:vAlign w:val="center"/>
          </w:tcPr>
          <w:p>
            <w:pPr>
              <w:pStyle w:val="35"/>
              <w:rPr>
                <w:rFonts w:cs="Times New Roman"/>
                <w:b w:val="0"/>
              </w:rPr>
            </w:pPr>
            <w:r>
              <w:rPr>
                <w:rFonts w:hint="eastAsia" w:cs="Times New Roman"/>
                <w:b w:val="0"/>
                <w:lang w:val="en-US" w:eastAsia="zh-CN"/>
              </w:rPr>
              <w:t>1000</w:t>
            </w:r>
          </w:p>
        </w:tc>
        <w:tc>
          <w:tcPr>
            <w:tcW w:w="2326" w:type="dxa"/>
            <w:gridSpan w:val="2"/>
            <w:tcBorders>
              <w:bottom w:val="single" w:color="auto" w:sz="4" w:space="0"/>
            </w:tcBorders>
            <w:shd w:val="clear" w:color="auto" w:fill="auto"/>
            <w:vAlign w:val="center"/>
          </w:tcPr>
          <w:p>
            <w:pPr>
              <w:pStyle w:val="35"/>
              <w:rPr>
                <w:rFonts w:cs="Times New Roman"/>
              </w:rPr>
            </w:pPr>
            <w:r>
              <w:rPr>
                <w:rFonts w:cs="Times New Roman"/>
              </w:rPr>
              <w:t>所占比例（%）</w:t>
            </w:r>
          </w:p>
        </w:tc>
        <w:tc>
          <w:tcPr>
            <w:tcW w:w="3169" w:type="dxa"/>
            <w:gridSpan w:val="4"/>
            <w:tcBorders>
              <w:bottom w:val="single" w:color="auto" w:sz="4" w:space="0"/>
            </w:tcBorders>
            <w:shd w:val="clear" w:color="auto" w:fill="auto"/>
            <w:vAlign w:val="center"/>
          </w:tcPr>
          <w:p>
            <w:pPr>
              <w:pStyle w:val="35"/>
              <w:rPr>
                <w:rFonts w:cs="Times New Roman"/>
                <w:b w:val="0"/>
              </w:rPr>
            </w:pPr>
            <w:r>
              <w:rPr>
                <w:rFonts w:hint="eastAsia" w:cs="Times New Roman"/>
                <w:b w:val="0"/>
                <w:lang w:val="en-US" w:eastAsia="zh-CN"/>
              </w:rPr>
              <w:t>15.6</w:t>
            </w:r>
            <w:r>
              <w:rPr>
                <w:rFonts w:cs="Times New Roman"/>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bottom"/>
          </w:tcPr>
          <w:p>
            <w:pPr>
              <w:pStyle w:val="35"/>
              <w:rPr>
                <w:rFonts w:cs="Times New Roman"/>
              </w:rPr>
            </w:pPr>
          </w:p>
        </w:tc>
        <w:tc>
          <w:tcPr>
            <w:tcW w:w="2434" w:type="dxa"/>
            <w:gridSpan w:val="2"/>
            <w:shd w:val="clear" w:color="auto" w:fill="auto"/>
            <w:vAlign w:val="center"/>
          </w:tcPr>
          <w:p>
            <w:pPr>
              <w:pStyle w:val="35"/>
              <w:rPr>
                <w:rFonts w:cs="Times New Roman"/>
              </w:rPr>
            </w:pPr>
            <w:r>
              <w:rPr>
                <w:rFonts w:cs="Times New Roman"/>
              </w:rPr>
              <w:t>废水治理（万元）</w:t>
            </w:r>
          </w:p>
        </w:tc>
        <w:tc>
          <w:tcPr>
            <w:tcW w:w="992" w:type="dxa"/>
            <w:tcBorders>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10</w:t>
            </w:r>
          </w:p>
        </w:tc>
        <w:tc>
          <w:tcPr>
            <w:tcW w:w="1701" w:type="dxa"/>
            <w:tcBorders>
              <w:left w:val="single" w:color="auto" w:sz="4" w:space="0"/>
              <w:right w:val="single" w:color="auto" w:sz="4" w:space="0"/>
            </w:tcBorders>
            <w:shd w:val="clear" w:color="auto" w:fill="auto"/>
            <w:vAlign w:val="center"/>
          </w:tcPr>
          <w:p>
            <w:pPr>
              <w:pStyle w:val="35"/>
              <w:rPr>
                <w:rFonts w:cs="Times New Roman"/>
              </w:rPr>
            </w:pPr>
            <w:r>
              <w:rPr>
                <w:rFonts w:cs="Times New Roman"/>
              </w:rPr>
              <w:t>废气治理（万元）</w:t>
            </w:r>
          </w:p>
        </w:tc>
        <w:tc>
          <w:tcPr>
            <w:tcW w:w="1308" w:type="dxa"/>
            <w:tcBorders>
              <w:left w:val="single" w:color="auto" w:sz="4" w:space="0"/>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800</w:t>
            </w:r>
          </w:p>
        </w:tc>
        <w:tc>
          <w:tcPr>
            <w:tcW w:w="1471" w:type="dxa"/>
            <w:tcBorders>
              <w:left w:val="single" w:color="auto" w:sz="4" w:space="0"/>
              <w:right w:val="single" w:color="auto" w:sz="4" w:space="0"/>
            </w:tcBorders>
            <w:shd w:val="clear" w:color="auto" w:fill="auto"/>
            <w:vAlign w:val="center"/>
          </w:tcPr>
          <w:p>
            <w:pPr>
              <w:pStyle w:val="35"/>
              <w:rPr>
                <w:rFonts w:cs="Times New Roman"/>
              </w:rPr>
            </w:pPr>
            <w:r>
              <w:rPr>
                <w:rFonts w:cs="Times New Roman"/>
              </w:rPr>
              <w:t>噪声治理(万元)</w:t>
            </w:r>
          </w:p>
        </w:tc>
        <w:tc>
          <w:tcPr>
            <w:tcW w:w="1431" w:type="dxa"/>
            <w:tcBorders>
              <w:left w:val="single" w:color="auto" w:sz="4" w:space="0"/>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50</w:t>
            </w:r>
          </w:p>
        </w:tc>
        <w:tc>
          <w:tcPr>
            <w:tcW w:w="2948"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固废治理(万元)</w:t>
            </w:r>
          </w:p>
        </w:tc>
        <w:tc>
          <w:tcPr>
            <w:tcW w:w="2765" w:type="dxa"/>
            <w:gridSpan w:val="2"/>
            <w:tcBorders>
              <w:left w:val="single" w:color="auto" w:sz="4" w:space="0"/>
              <w:righ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40</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绿化及生态(万元)</w:t>
            </w:r>
          </w:p>
        </w:tc>
        <w:tc>
          <w:tcPr>
            <w:tcW w:w="1076" w:type="dxa"/>
            <w:gridSpan w:val="2"/>
            <w:tcBorders>
              <w:left w:val="single" w:color="auto" w:sz="4" w:space="0"/>
            </w:tcBorders>
            <w:shd w:val="clear" w:color="auto" w:fill="auto"/>
            <w:vAlign w:val="center"/>
          </w:tcPr>
          <w:p>
            <w:pPr>
              <w:pStyle w:val="35"/>
              <w:rPr>
                <w:rFonts w:hint="eastAsia" w:cs="Times New Roman" w:eastAsiaTheme="minorEastAsia"/>
                <w:b w:val="0"/>
                <w:lang w:val="en-US" w:eastAsia="zh-CN"/>
              </w:rPr>
            </w:pPr>
            <w:r>
              <w:rPr>
                <w:rFonts w:hint="eastAsia" w:cs="Times New Roman"/>
                <w:b w:val="0"/>
                <w:lang w:val="en-US" w:eastAsia="zh-CN"/>
              </w:rPr>
              <w:t>/</w:t>
            </w:r>
          </w:p>
        </w:tc>
        <w:tc>
          <w:tcPr>
            <w:tcW w:w="1345" w:type="dxa"/>
            <w:tcBorders>
              <w:left w:val="single" w:color="auto" w:sz="4" w:space="0"/>
            </w:tcBorders>
            <w:shd w:val="clear" w:color="auto" w:fill="auto"/>
            <w:vAlign w:val="center"/>
          </w:tcPr>
          <w:p>
            <w:pPr>
              <w:pStyle w:val="35"/>
              <w:rPr>
                <w:rFonts w:cs="Times New Roman"/>
              </w:rPr>
            </w:pPr>
            <w:r>
              <w:rPr>
                <w:rFonts w:cs="Times New Roman"/>
              </w:rPr>
              <w:t>其他（万元）</w:t>
            </w:r>
          </w:p>
        </w:tc>
        <w:tc>
          <w:tcPr>
            <w:tcW w:w="748" w:type="dxa"/>
            <w:tcBorders>
              <w:left w:val="single" w:color="auto" w:sz="4" w:space="0"/>
            </w:tcBorders>
            <w:shd w:val="clear" w:color="auto" w:fill="auto"/>
            <w:vAlign w:val="center"/>
          </w:tcPr>
          <w:p>
            <w:pPr>
              <w:pStyle w:val="35"/>
              <w:rPr>
                <w:rFonts w:hint="default" w:cs="Times New Roman" w:eastAsiaTheme="minorEastAsia"/>
                <w:lang w:val="en-US" w:eastAsia="zh-CN"/>
              </w:rPr>
            </w:pPr>
            <w:r>
              <w:rPr>
                <w:rFonts w:hint="eastAsia" w:cs="Times New Roman"/>
                <w:b w:val="0"/>
                <w:bCs/>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tcBorders>
              <w:bottom w:val="single" w:color="auto" w:sz="4" w:space="0"/>
            </w:tcBorders>
            <w:shd w:val="clear" w:color="auto" w:fill="auto"/>
            <w:vAlign w:val="bottom"/>
          </w:tcPr>
          <w:p>
            <w:pPr>
              <w:pStyle w:val="35"/>
              <w:rPr>
                <w:rFonts w:cs="Times New Roman"/>
              </w:rPr>
            </w:pPr>
          </w:p>
        </w:tc>
        <w:tc>
          <w:tcPr>
            <w:tcW w:w="2434" w:type="dxa"/>
            <w:gridSpan w:val="2"/>
            <w:tcBorders>
              <w:bottom w:val="single" w:color="auto" w:sz="4" w:space="0"/>
            </w:tcBorders>
            <w:shd w:val="clear" w:color="auto" w:fill="auto"/>
            <w:vAlign w:val="center"/>
          </w:tcPr>
          <w:p>
            <w:pPr>
              <w:pStyle w:val="35"/>
              <w:rPr>
                <w:rFonts w:cs="Times New Roman"/>
              </w:rPr>
            </w:pPr>
            <w:r>
              <w:rPr>
                <w:rFonts w:cs="Times New Roman"/>
              </w:rPr>
              <w:t>新增废水处理设施能力</w:t>
            </w:r>
          </w:p>
        </w:tc>
        <w:tc>
          <w:tcPr>
            <w:tcW w:w="6903" w:type="dxa"/>
            <w:gridSpan w:val="5"/>
            <w:tcBorders>
              <w:right w:val="single" w:color="auto" w:sz="4" w:space="0"/>
            </w:tcBorders>
            <w:shd w:val="clear" w:color="auto" w:fill="auto"/>
            <w:vAlign w:val="center"/>
          </w:tcPr>
          <w:p>
            <w:pPr>
              <w:pStyle w:val="35"/>
              <w:rPr>
                <w:rFonts w:cs="Times New Roman"/>
              </w:rPr>
            </w:pPr>
            <w:r>
              <w:rPr>
                <w:rFonts w:cs="Times New Roman"/>
              </w:rPr>
              <w:t>/</w:t>
            </w:r>
          </w:p>
        </w:tc>
        <w:tc>
          <w:tcPr>
            <w:tcW w:w="2948"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新增废气处理设施能力</w:t>
            </w:r>
          </w:p>
        </w:tc>
        <w:tc>
          <w:tcPr>
            <w:tcW w:w="2765" w:type="dxa"/>
            <w:gridSpan w:val="2"/>
            <w:tcBorders>
              <w:left w:val="single" w:color="auto" w:sz="4" w:space="0"/>
              <w:right w:val="single" w:color="auto" w:sz="4" w:space="0"/>
            </w:tcBorders>
            <w:shd w:val="clear" w:color="auto" w:fill="auto"/>
            <w:vAlign w:val="center"/>
          </w:tcPr>
          <w:p>
            <w:pPr>
              <w:pStyle w:val="35"/>
              <w:rPr>
                <w:rFonts w:cs="Times New Roman"/>
                <w:b w:val="0"/>
              </w:rPr>
            </w:pPr>
            <w:r>
              <w:rPr>
                <w:rFonts w:cs="Times New Roman"/>
                <w:b w:val="0"/>
              </w:rPr>
              <w:t>/</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年平均工作时</w:t>
            </w:r>
          </w:p>
        </w:tc>
        <w:tc>
          <w:tcPr>
            <w:tcW w:w="3169" w:type="dxa"/>
            <w:gridSpan w:val="4"/>
            <w:tcBorders>
              <w:left w:val="single" w:color="auto" w:sz="4" w:space="0"/>
            </w:tcBorders>
            <w:shd w:val="clear" w:color="auto" w:fill="auto"/>
            <w:vAlign w:val="center"/>
          </w:tcPr>
          <w:p>
            <w:pPr>
              <w:pStyle w:val="35"/>
              <w:rPr>
                <w:rFonts w:hint="default" w:cs="Times New Roman" w:eastAsiaTheme="minorEastAsia"/>
                <w:b w:val="0"/>
                <w:lang w:val="en-US" w:eastAsia="zh-CN"/>
              </w:rPr>
            </w:pPr>
            <w:r>
              <w:rPr>
                <w:rFonts w:hint="eastAsia" w:cs="Times New Roman"/>
                <w:b w:val="0"/>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131" w:type="dxa"/>
            <w:gridSpan w:val="3"/>
            <w:tcBorders>
              <w:top w:val="single" w:color="auto" w:sz="4" w:space="0"/>
              <w:bottom w:val="single" w:color="auto" w:sz="4" w:space="0"/>
            </w:tcBorders>
            <w:shd w:val="clear" w:color="auto" w:fill="auto"/>
            <w:vAlign w:val="center"/>
          </w:tcPr>
          <w:p>
            <w:pPr>
              <w:pStyle w:val="35"/>
              <w:rPr>
                <w:rFonts w:cs="Times New Roman"/>
              </w:rPr>
            </w:pPr>
            <w:r>
              <w:rPr>
                <w:rFonts w:cs="Times New Roman"/>
              </w:rPr>
              <w:t>运营单位</w:t>
            </w:r>
          </w:p>
        </w:tc>
        <w:tc>
          <w:tcPr>
            <w:tcW w:w="2693" w:type="dxa"/>
            <w:gridSpan w:val="2"/>
            <w:tcBorders>
              <w:right w:val="single" w:color="auto" w:sz="4" w:space="0"/>
            </w:tcBorders>
            <w:shd w:val="clear" w:color="auto" w:fill="auto"/>
            <w:vAlign w:val="center"/>
          </w:tcPr>
          <w:p>
            <w:pPr>
              <w:pStyle w:val="35"/>
              <w:rPr>
                <w:rFonts w:cs="Times New Roman"/>
                <w:b/>
                <w:bCs/>
              </w:rPr>
            </w:pPr>
            <w:r>
              <w:rPr>
                <w:rFonts w:cs="Times New Roman"/>
                <w:b w:val="0"/>
              </w:rPr>
              <w:t>纽科伦（新乡）起重机有限公司</w:t>
            </w:r>
          </w:p>
        </w:tc>
        <w:tc>
          <w:tcPr>
            <w:tcW w:w="7158" w:type="dxa"/>
            <w:gridSpan w:val="5"/>
            <w:tcBorders>
              <w:left w:val="single" w:color="auto" w:sz="4" w:space="0"/>
              <w:right w:val="single" w:color="auto" w:sz="4" w:space="0"/>
            </w:tcBorders>
            <w:shd w:val="clear" w:color="auto" w:fill="auto"/>
            <w:vAlign w:val="center"/>
          </w:tcPr>
          <w:p>
            <w:pPr>
              <w:pStyle w:val="35"/>
              <w:rPr>
                <w:rFonts w:cs="Times New Roman"/>
              </w:rPr>
            </w:pPr>
            <w:r>
              <w:rPr>
                <w:rFonts w:cs="Times New Roman"/>
              </w:rPr>
              <w:t>运营单位社会统一信用代码（或组织机构代码）</w:t>
            </w:r>
          </w:p>
        </w:tc>
        <w:tc>
          <w:tcPr>
            <w:tcW w:w="2765" w:type="dxa"/>
            <w:gridSpan w:val="2"/>
            <w:tcBorders>
              <w:left w:val="single" w:color="auto" w:sz="4" w:space="0"/>
              <w:right w:val="single" w:color="auto" w:sz="4" w:space="0"/>
            </w:tcBorders>
            <w:shd w:val="clear" w:color="auto" w:fill="auto"/>
            <w:vAlign w:val="center"/>
          </w:tcPr>
          <w:p>
            <w:pPr>
              <w:pStyle w:val="35"/>
              <w:rPr>
                <w:rFonts w:cs="Times New Roman"/>
                <w:b w:val="0"/>
              </w:rPr>
            </w:pPr>
            <w:r>
              <w:rPr>
                <w:rFonts w:hint="default" w:cs="Times New Roman"/>
                <w:b w:val="0"/>
                <w:lang w:val="en-US" w:eastAsia="zh-CN"/>
              </w:rPr>
              <w:t>914107287794084639</w:t>
            </w:r>
          </w:p>
        </w:tc>
        <w:tc>
          <w:tcPr>
            <w:tcW w:w="2326" w:type="dxa"/>
            <w:gridSpan w:val="2"/>
            <w:tcBorders>
              <w:left w:val="single" w:color="auto" w:sz="4" w:space="0"/>
              <w:right w:val="single" w:color="auto" w:sz="4" w:space="0"/>
            </w:tcBorders>
            <w:shd w:val="clear" w:color="auto" w:fill="auto"/>
            <w:vAlign w:val="center"/>
          </w:tcPr>
          <w:p>
            <w:pPr>
              <w:pStyle w:val="35"/>
              <w:rPr>
                <w:rFonts w:cs="Times New Roman"/>
              </w:rPr>
            </w:pPr>
            <w:r>
              <w:rPr>
                <w:rFonts w:cs="Times New Roman"/>
              </w:rPr>
              <w:t>验收时间</w:t>
            </w:r>
          </w:p>
        </w:tc>
        <w:tc>
          <w:tcPr>
            <w:tcW w:w="3169" w:type="dxa"/>
            <w:gridSpan w:val="4"/>
            <w:tcBorders>
              <w:left w:val="single" w:color="auto" w:sz="4" w:space="0"/>
            </w:tcBorders>
            <w:shd w:val="clear" w:color="auto" w:fill="auto"/>
            <w:vAlign w:val="center"/>
          </w:tcPr>
          <w:p>
            <w:pPr>
              <w:pStyle w:val="35"/>
              <w:rPr>
                <w:rFonts w:cs="Times New Roman"/>
                <w:b w:val="0"/>
              </w:rPr>
            </w:pPr>
            <w:r>
              <w:rPr>
                <w:rFonts w:cs="Times New Roman"/>
                <w:b w:val="0"/>
              </w:rPr>
              <w:t>20</w:t>
            </w:r>
            <w:r>
              <w:rPr>
                <w:rFonts w:hint="eastAsia" w:cs="Times New Roman"/>
                <w:b w:val="0"/>
                <w:lang w:val="en-US" w:eastAsia="zh-CN"/>
              </w:rPr>
              <w:t>23</w:t>
            </w:r>
            <w:r>
              <w:rPr>
                <w:rFonts w:cs="Times New Roman"/>
                <w:b w:val="0"/>
              </w:rPr>
              <w:t>年</w:t>
            </w:r>
            <w:r>
              <w:rPr>
                <w:rFonts w:hint="eastAsia" w:cs="Times New Roman"/>
                <w:b w:val="0"/>
                <w:lang w:val="en-US" w:eastAsia="zh-CN"/>
              </w:rPr>
              <w:t>04</w:t>
            </w:r>
            <w:r>
              <w:rPr>
                <w:rFonts w:cs="Times New Roman"/>
                <w:b w:val="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restart"/>
            <w:tcBorders>
              <w:top w:val="nil"/>
            </w:tcBorders>
            <w:shd w:val="clear" w:color="auto" w:fill="auto"/>
            <w:vAlign w:val="bottom"/>
          </w:tcPr>
          <w:p>
            <w:pPr>
              <w:pStyle w:val="35"/>
              <w:rPr>
                <w:rFonts w:cs="Times New Roman"/>
                <w:szCs w:val="15"/>
              </w:rPr>
            </w:pPr>
            <w:r>
              <w:rPr>
                <w:rFonts w:cs="Times New Roman"/>
                <w:szCs w:val="15"/>
              </w:rPr>
              <w:t>污</w:t>
            </w:r>
          </w:p>
          <w:p>
            <w:pPr>
              <w:pStyle w:val="35"/>
              <w:rPr>
                <w:rFonts w:cs="Times New Roman"/>
                <w:szCs w:val="15"/>
              </w:rPr>
            </w:pPr>
            <w:r>
              <w:rPr>
                <w:rFonts w:cs="Times New Roman"/>
                <w:szCs w:val="15"/>
              </w:rPr>
              <w:t>染</w:t>
            </w:r>
          </w:p>
          <w:p>
            <w:pPr>
              <w:pStyle w:val="35"/>
              <w:rPr>
                <w:rFonts w:cs="Times New Roman"/>
                <w:szCs w:val="15"/>
              </w:rPr>
            </w:pPr>
            <w:r>
              <w:rPr>
                <w:rFonts w:cs="Times New Roman"/>
                <w:szCs w:val="15"/>
              </w:rPr>
              <w:t>物</w:t>
            </w:r>
          </w:p>
          <w:p>
            <w:pPr>
              <w:pStyle w:val="35"/>
              <w:rPr>
                <w:rFonts w:cs="Times New Roman"/>
                <w:szCs w:val="15"/>
              </w:rPr>
            </w:pPr>
            <w:r>
              <w:rPr>
                <w:rFonts w:cs="Times New Roman"/>
                <w:szCs w:val="15"/>
              </w:rPr>
              <w:t>排</w:t>
            </w:r>
          </w:p>
          <w:p>
            <w:pPr>
              <w:pStyle w:val="35"/>
              <w:rPr>
                <w:rFonts w:cs="Times New Roman"/>
                <w:szCs w:val="15"/>
              </w:rPr>
            </w:pPr>
            <w:r>
              <w:rPr>
                <w:rFonts w:cs="Times New Roman"/>
                <w:szCs w:val="15"/>
              </w:rPr>
              <w:t>放</w:t>
            </w:r>
          </w:p>
          <w:p>
            <w:pPr>
              <w:pStyle w:val="35"/>
              <w:rPr>
                <w:rFonts w:cs="Times New Roman"/>
                <w:szCs w:val="15"/>
              </w:rPr>
            </w:pPr>
            <w:r>
              <w:rPr>
                <w:rFonts w:cs="Times New Roman"/>
                <w:szCs w:val="15"/>
              </w:rPr>
              <w:t>达</w:t>
            </w:r>
          </w:p>
          <w:p>
            <w:pPr>
              <w:pStyle w:val="35"/>
              <w:rPr>
                <w:rFonts w:cs="Times New Roman"/>
                <w:szCs w:val="15"/>
              </w:rPr>
            </w:pPr>
            <w:r>
              <w:rPr>
                <w:rFonts w:cs="Times New Roman"/>
                <w:szCs w:val="15"/>
              </w:rPr>
              <w:t>标</w:t>
            </w:r>
          </w:p>
          <w:p>
            <w:pPr>
              <w:pStyle w:val="35"/>
              <w:rPr>
                <w:rFonts w:cs="Times New Roman"/>
                <w:szCs w:val="15"/>
              </w:rPr>
            </w:pPr>
            <w:r>
              <w:rPr>
                <w:rFonts w:cs="Times New Roman"/>
                <w:szCs w:val="15"/>
              </w:rPr>
              <w:t>与</w:t>
            </w:r>
          </w:p>
          <w:p>
            <w:pPr>
              <w:pStyle w:val="35"/>
              <w:rPr>
                <w:rFonts w:cs="Times New Roman"/>
                <w:szCs w:val="15"/>
              </w:rPr>
            </w:pPr>
            <w:r>
              <w:rPr>
                <w:rFonts w:cs="Times New Roman"/>
                <w:szCs w:val="15"/>
              </w:rPr>
              <w:t>总</w:t>
            </w:r>
          </w:p>
          <w:p>
            <w:pPr>
              <w:pStyle w:val="35"/>
              <w:rPr>
                <w:rFonts w:cs="Times New Roman"/>
                <w:szCs w:val="15"/>
              </w:rPr>
            </w:pPr>
            <w:r>
              <w:rPr>
                <w:rFonts w:cs="Times New Roman"/>
                <w:szCs w:val="15"/>
              </w:rPr>
              <w:t>量</w:t>
            </w:r>
          </w:p>
          <w:p>
            <w:pPr>
              <w:pStyle w:val="35"/>
              <w:rPr>
                <w:rFonts w:cs="Times New Roman"/>
                <w:szCs w:val="15"/>
              </w:rPr>
            </w:pPr>
            <w:r>
              <w:rPr>
                <w:rFonts w:cs="Times New Roman"/>
                <w:szCs w:val="15"/>
              </w:rPr>
              <w:t>控</w:t>
            </w:r>
          </w:p>
          <w:p>
            <w:pPr>
              <w:pStyle w:val="35"/>
              <w:rPr>
                <w:rFonts w:cs="Times New Roman"/>
                <w:szCs w:val="15"/>
              </w:rPr>
            </w:pPr>
            <w:r>
              <w:rPr>
                <w:rFonts w:cs="Times New Roman"/>
                <w:szCs w:val="15"/>
              </w:rPr>
              <w:t>制</w:t>
            </w:r>
          </w:p>
          <w:p>
            <w:pPr>
              <w:pStyle w:val="35"/>
              <w:rPr>
                <w:rFonts w:cs="Times New Roman"/>
                <w:szCs w:val="15"/>
              </w:rPr>
            </w:pPr>
            <w:r>
              <w:rPr>
                <w:rFonts w:cs="Times New Roman"/>
                <w:szCs w:val="15"/>
              </w:rPr>
              <w:t>（工业</w:t>
            </w:r>
          </w:p>
          <w:p>
            <w:pPr>
              <w:pStyle w:val="35"/>
              <w:rPr>
                <w:rFonts w:cs="Times New Roman"/>
                <w:szCs w:val="15"/>
              </w:rPr>
            </w:pPr>
            <w:r>
              <w:rPr>
                <w:rFonts w:cs="Times New Roman"/>
                <w:szCs w:val="15"/>
              </w:rPr>
              <w:t>建设</w:t>
            </w:r>
          </w:p>
          <w:p>
            <w:pPr>
              <w:pStyle w:val="35"/>
              <w:rPr>
                <w:rFonts w:cs="Times New Roman"/>
                <w:szCs w:val="15"/>
              </w:rPr>
            </w:pPr>
            <w:r>
              <w:rPr>
                <w:rFonts w:cs="Times New Roman"/>
                <w:szCs w:val="15"/>
              </w:rPr>
              <w:t>项目</w:t>
            </w:r>
          </w:p>
          <w:p>
            <w:pPr>
              <w:pStyle w:val="35"/>
              <w:rPr>
                <w:rFonts w:cs="Times New Roman"/>
                <w:szCs w:val="15"/>
              </w:rPr>
            </w:pPr>
            <w:r>
              <w:rPr>
                <w:rFonts w:cs="Times New Roman"/>
                <w:szCs w:val="15"/>
              </w:rPr>
              <w:t>详填）</w:t>
            </w:r>
          </w:p>
        </w:tc>
        <w:tc>
          <w:tcPr>
            <w:tcW w:w="2434" w:type="dxa"/>
            <w:gridSpan w:val="2"/>
            <w:tcBorders>
              <w:top w:val="single" w:color="auto" w:sz="4" w:space="0"/>
            </w:tcBorders>
            <w:shd w:val="clear" w:color="auto" w:fill="auto"/>
            <w:vAlign w:val="center"/>
          </w:tcPr>
          <w:p>
            <w:pPr>
              <w:pStyle w:val="35"/>
              <w:rPr>
                <w:rFonts w:cs="Times New Roman"/>
              </w:rPr>
            </w:pPr>
            <w:r>
              <w:rPr>
                <w:rFonts w:cs="Times New Roman"/>
              </w:rPr>
              <w:t>污染物</w:t>
            </w:r>
          </w:p>
        </w:tc>
        <w:tc>
          <w:tcPr>
            <w:tcW w:w="992" w:type="dxa"/>
            <w:shd w:val="clear" w:color="auto" w:fill="auto"/>
            <w:vAlign w:val="center"/>
          </w:tcPr>
          <w:p>
            <w:pPr>
              <w:pStyle w:val="35"/>
              <w:rPr>
                <w:rFonts w:cs="Times New Roman"/>
              </w:rPr>
            </w:pPr>
            <w:r>
              <w:rPr>
                <w:rFonts w:cs="Times New Roman"/>
              </w:rPr>
              <w:t>原有排放量(1)</w:t>
            </w:r>
          </w:p>
        </w:tc>
        <w:tc>
          <w:tcPr>
            <w:tcW w:w="1701" w:type="dxa"/>
            <w:shd w:val="clear" w:color="auto" w:fill="auto"/>
            <w:vAlign w:val="center"/>
          </w:tcPr>
          <w:p>
            <w:pPr>
              <w:pStyle w:val="35"/>
              <w:rPr>
                <w:rFonts w:cs="Times New Roman"/>
              </w:rPr>
            </w:pPr>
            <w:r>
              <w:rPr>
                <w:rFonts w:cs="Times New Roman"/>
              </w:rPr>
              <w:t>本期工程实际排放浓度（2）</w:t>
            </w:r>
          </w:p>
        </w:tc>
        <w:tc>
          <w:tcPr>
            <w:tcW w:w="1308" w:type="dxa"/>
            <w:shd w:val="clear" w:color="auto" w:fill="auto"/>
            <w:vAlign w:val="center"/>
          </w:tcPr>
          <w:p>
            <w:pPr>
              <w:pStyle w:val="35"/>
              <w:rPr>
                <w:rFonts w:cs="Times New Roman"/>
              </w:rPr>
            </w:pPr>
            <w:r>
              <w:rPr>
                <w:rFonts w:cs="Times New Roman"/>
              </w:rPr>
              <w:t>本期工程允许排放浓度（3）</w:t>
            </w:r>
          </w:p>
        </w:tc>
        <w:tc>
          <w:tcPr>
            <w:tcW w:w="1471" w:type="dxa"/>
            <w:shd w:val="clear" w:color="auto" w:fill="auto"/>
            <w:vAlign w:val="center"/>
          </w:tcPr>
          <w:p>
            <w:pPr>
              <w:pStyle w:val="35"/>
              <w:rPr>
                <w:rFonts w:cs="Times New Roman"/>
              </w:rPr>
            </w:pPr>
            <w:r>
              <w:rPr>
                <w:rFonts w:cs="Times New Roman"/>
              </w:rPr>
              <w:t>本期工程产生量（4）</w:t>
            </w:r>
          </w:p>
        </w:tc>
        <w:tc>
          <w:tcPr>
            <w:tcW w:w="1431" w:type="dxa"/>
            <w:shd w:val="clear" w:color="auto" w:fill="auto"/>
            <w:vAlign w:val="center"/>
          </w:tcPr>
          <w:p>
            <w:pPr>
              <w:pStyle w:val="35"/>
              <w:rPr>
                <w:rFonts w:cs="Times New Roman"/>
              </w:rPr>
            </w:pPr>
            <w:r>
              <w:rPr>
                <w:rFonts w:cs="Times New Roman"/>
              </w:rPr>
              <w:t>本期工程自身消减量（5）</w:t>
            </w:r>
          </w:p>
        </w:tc>
        <w:tc>
          <w:tcPr>
            <w:tcW w:w="1475" w:type="dxa"/>
            <w:shd w:val="clear" w:color="auto" w:fill="auto"/>
            <w:vAlign w:val="center"/>
          </w:tcPr>
          <w:p>
            <w:pPr>
              <w:pStyle w:val="35"/>
              <w:rPr>
                <w:rFonts w:cs="Times New Roman"/>
              </w:rPr>
            </w:pPr>
            <w:r>
              <w:rPr>
                <w:rFonts w:cs="Times New Roman"/>
              </w:rPr>
              <w:t>本期工程实际排放量（6）</w:t>
            </w:r>
          </w:p>
        </w:tc>
        <w:tc>
          <w:tcPr>
            <w:tcW w:w="1473" w:type="dxa"/>
            <w:shd w:val="clear" w:color="auto" w:fill="auto"/>
            <w:vAlign w:val="center"/>
          </w:tcPr>
          <w:p>
            <w:pPr>
              <w:pStyle w:val="35"/>
              <w:rPr>
                <w:rFonts w:cs="Times New Roman"/>
              </w:rPr>
            </w:pPr>
            <w:r>
              <w:rPr>
                <w:rFonts w:cs="Times New Roman"/>
              </w:rPr>
              <w:t>本期工程核定排放总量（7）</w:t>
            </w:r>
          </w:p>
        </w:tc>
        <w:tc>
          <w:tcPr>
            <w:tcW w:w="1489" w:type="dxa"/>
            <w:shd w:val="clear" w:color="auto" w:fill="auto"/>
            <w:vAlign w:val="center"/>
          </w:tcPr>
          <w:p>
            <w:pPr>
              <w:pStyle w:val="35"/>
              <w:rPr>
                <w:rFonts w:cs="Times New Roman"/>
              </w:rPr>
            </w:pPr>
            <w:r>
              <w:rPr>
                <w:rFonts w:cs="Times New Roman"/>
              </w:rPr>
              <w:t>本期工程“以新带老”消减量（8）</w:t>
            </w:r>
          </w:p>
        </w:tc>
        <w:tc>
          <w:tcPr>
            <w:tcW w:w="1276" w:type="dxa"/>
            <w:shd w:val="clear" w:color="auto" w:fill="auto"/>
            <w:vAlign w:val="center"/>
          </w:tcPr>
          <w:p>
            <w:pPr>
              <w:pStyle w:val="35"/>
              <w:rPr>
                <w:rFonts w:cs="Times New Roman"/>
              </w:rPr>
            </w:pPr>
            <w:r>
              <w:rPr>
                <w:rFonts w:cs="Times New Roman"/>
              </w:rPr>
              <w:t>全厂实际排放总量（9）</w:t>
            </w:r>
          </w:p>
        </w:tc>
        <w:tc>
          <w:tcPr>
            <w:tcW w:w="1927" w:type="dxa"/>
            <w:shd w:val="clear" w:color="auto" w:fill="auto"/>
            <w:vAlign w:val="center"/>
          </w:tcPr>
          <w:p>
            <w:pPr>
              <w:pStyle w:val="35"/>
              <w:rPr>
                <w:rFonts w:cs="Times New Roman"/>
              </w:rPr>
            </w:pPr>
            <w:r>
              <w:rPr>
                <w:rFonts w:cs="Times New Roman"/>
              </w:rPr>
              <w:t>全厂核定排放总量（10）</w:t>
            </w:r>
          </w:p>
        </w:tc>
        <w:tc>
          <w:tcPr>
            <w:tcW w:w="1333" w:type="dxa"/>
            <w:gridSpan w:val="2"/>
            <w:shd w:val="clear" w:color="auto" w:fill="auto"/>
            <w:vAlign w:val="center"/>
          </w:tcPr>
          <w:p>
            <w:pPr>
              <w:pStyle w:val="35"/>
              <w:rPr>
                <w:rFonts w:cs="Times New Roman"/>
              </w:rPr>
            </w:pPr>
            <w:r>
              <w:rPr>
                <w:rFonts w:cs="Times New Roman"/>
              </w:rPr>
              <w:t>区域平衡替代消减量（11）</w:t>
            </w:r>
          </w:p>
        </w:tc>
        <w:tc>
          <w:tcPr>
            <w:tcW w:w="2235" w:type="dxa"/>
            <w:gridSpan w:val="3"/>
            <w:tcBorders>
              <w:top w:val="nil"/>
            </w:tcBorders>
            <w:shd w:val="clear" w:color="auto" w:fill="auto"/>
            <w:vAlign w:val="center"/>
          </w:tcPr>
          <w:p>
            <w:pPr>
              <w:pStyle w:val="35"/>
              <w:rPr>
                <w:rFonts w:cs="Times New Roman"/>
              </w:rPr>
            </w:pPr>
            <w:r>
              <w:rPr>
                <w:rFonts w:cs="Times New Roman"/>
              </w:rPr>
              <w:t>排放增减量</w:t>
            </w:r>
          </w:p>
          <w:p>
            <w:pPr>
              <w:pStyle w:val="35"/>
              <w:rPr>
                <w:rFonts w:cs="Times New Roman"/>
              </w:rPr>
            </w:pPr>
            <w:r>
              <w:rPr>
                <w:rFonts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14400</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4800</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4800</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19200</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化学需氧量</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0.453</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126</w:t>
            </w:r>
          </w:p>
        </w:tc>
        <w:tc>
          <w:tcPr>
            <w:tcW w:w="1308"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0.6048</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0.6048</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1.0578</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氨     氮</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0.045</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7.51</w:t>
            </w:r>
          </w:p>
        </w:tc>
        <w:tc>
          <w:tcPr>
            <w:tcW w:w="1308"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0.036</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0.036</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0.081</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  油  类</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二氧化硫</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1308"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0.1389</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hint="default"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0.1389</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     尘</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0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3.3</w:t>
            </w:r>
          </w:p>
        </w:tc>
        <w:tc>
          <w:tcPr>
            <w:tcW w:w="1308"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0.0958</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0.0958</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0.0958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工业粉尘</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2.032</w:t>
            </w:r>
          </w:p>
        </w:tc>
        <w:tc>
          <w:tcPr>
            <w:tcW w:w="1701" w:type="dxa"/>
            <w:shd w:val="clear" w:color="auto" w:fill="auto"/>
            <w:vAlign w:val="center"/>
          </w:tcPr>
          <w:p>
            <w:pPr>
              <w:pStyle w:val="35"/>
              <w:rPr>
                <w:rFonts w:hint="default" w:cs="Times New Roman" w:eastAsiaTheme="minorEastAsia"/>
                <w:color w:val="00B0F0"/>
                <w:lang w:val="en-US" w:eastAsia="zh-CN"/>
              </w:rPr>
            </w:pPr>
            <w:r>
              <w:rPr>
                <w:rFonts w:hint="eastAsia" w:cs="Times New Roman"/>
                <w:color w:val="000000" w:themeColor="text1"/>
                <w:lang w:val="en-US" w:eastAsia="zh-CN"/>
                <w14:textFill>
                  <w14:solidFill>
                    <w14:schemeClr w14:val="tx1"/>
                  </w14:solidFill>
                </w14:textFill>
              </w:rPr>
              <w:t>8.8</w:t>
            </w:r>
          </w:p>
        </w:tc>
        <w:tc>
          <w:tcPr>
            <w:tcW w:w="1308" w:type="dxa"/>
            <w:shd w:val="clear" w:color="auto" w:fill="auto"/>
            <w:vAlign w:val="center"/>
          </w:tcPr>
          <w:p>
            <w:pPr>
              <w:pStyle w:val="35"/>
              <w:rPr>
                <w:rFonts w:hint="eastAsia" w:cs="Times New Roman" w:eastAsiaTheme="minorEastAsia"/>
                <w:b w:val="0"/>
                <w:color w:val="00B0F0"/>
                <w:lang w:eastAsia="zh-CN"/>
              </w:rPr>
            </w:pPr>
            <w:r>
              <w:rPr>
                <w:rFonts w:hint="eastAsia" w:cs="Times New Roman"/>
                <w:color w:val="000000" w:themeColor="text1"/>
                <w:lang w:val="en-US" w:eastAsia="zh-CN"/>
                <w14:textFill>
                  <w14:solidFill>
                    <w14:schemeClr w14:val="tx1"/>
                  </w14:solidFill>
                </w14:textFill>
              </w:rPr>
              <w:t>10</w:t>
            </w:r>
          </w:p>
        </w:tc>
        <w:tc>
          <w:tcPr>
            <w:tcW w:w="1471" w:type="dxa"/>
            <w:shd w:val="clear" w:color="auto" w:fill="auto"/>
            <w:vAlign w:val="center"/>
          </w:tcPr>
          <w:p>
            <w:pPr>
              <w:pStyle w:val="35"/>
              <w:rPr>
                <w:rFonts w:hint="eastAsia" w:cs="Times New Roman" w:eastAsiaTheme="minorEastAsia"/>
                <w:b w:val="0"/>
                <w:color w:val="auto"/>
                <w:lang w:eastAsia="zh-CN"/>
              </w:rPr>
            </w:pPr>
            <w:r>
              <w:rPr>
                <w:rFonts w:hint="eastAsia" w:cs="Times New Roman"/>
                <w:color w:val="auto"/>
                <w:lang w:val="en-US" w:eastAsia="zh-CN"/>
              </w:rPr>
              <w:t>/</w:t>
            </w:r>
          </w:p>
        </w:tc>
        <w:tc>
          <w:tcPr>
            <w:tcW w:w="1431" w:type="dxa"/>
            <w:shd w:val="clear" w:color="auto" w:fill="auto"/>
            <w:vAlign w:val="center"/>
          </w:tcPr>
          <w:p>
            <w:pPr>
              <w:pStyle w:val="35"/>
              <w:rPr>
                <w:rFonts w:cs="Times New Roman"/>
                <w:b w:val="0"/>
                <w:color w:val="auto"/>
              </w:rPr>
            </w:pPr>
            <w:r>
              <w:rPr>
                <w:rFonts w:hint="eastAsia" w:cs="Times New Roman"/>
                <w:color w:val="auto"/>
              </w:rPr>
              <w:t>/</w:t>
            </w:r>
          </w:p>
        </w:tc>
        <w:tc>
          <w:tcPr>
            <w:tcW w:w="1475" w:type="dxa"/>
            <w:shd w:val="clear" w:color="auto" w:fill="auto"/>
            <w:vAlign w:val="center"/>
          </w:tcPr>
          <w:p>
            <w:pPr>
              <w:pStyle w:val="35"/>
              <w:rPr>
                <w:rFonts w:hint="default" w:cs="Times New Roman" w:eastAsiaTheme="minorEastAsia"/>
                <w:b w:val="0"/>
                <w:color w:val="auto"/>
                <w:lang w:val="en-US" w:eastAsia="zh-CN"/>
              </w:rPr>
            </w:pPr>
            <w:r>
              <w:rPr>
                <w:rFonts w:hint="eastAsia" w:cs="Times New Roman"/>
                <w:color w:val="auto"/>
                <w:lang w:val="en-US" w:eastAsia="zh-CN"/>
              </w:rPr>
              <w:t>0.82</w:t>
            </w:r>
          </w:p>
        </w:tc>
        <w:tc>
          <w:tcPr>
            <w:tcW w:w="1473" w:type="dxa"/>
            <w:shd w:val="clear" w:color="auto" w:fill="auto"/>
            <w:vAlign w:val="center"/>
          </w:tcPr>
          <w:p>
            <w:pPr>
              <w:pStyle w:val="35"/>
              <w:rPr>
                <w:rFonts w:cs="Times New Roman"/>
                <w:b w:val="0"/>
                <w:color w:val="auto"/>
              </w:rPr>
            </w:pPr>
            <w:r>
              <w:rPr>
                <w:rFonts w:hint="eastAsia" w:cs="Times New Roman"/>
                <w:color w:val="auto"/>
              </w:rPr>
              <w:t>/</w:t>
            </w:r>
          </w:p>
        </w:tc>
        <w:tc>
          <w:tcPr>
            <w:tcW w:w="1489" w:type="dxa"/>
            <w:shd w:val="clear" w:color="auto" w:fill="auto"/>
            <w:vAlign w:val="center"/>
          </w:tcPr>
          <w:p>
            <w:pPr>
              <w:pStyle w:val="35"/>
              <w:rPr>
                <w:rFonts w:cs="Times New Roman"/>
                <w:color w:val="auto"/>
              </w:rPr>
            </w:pPr>
            <w:r>
              <w:rPr>
                <w:rFonts w:hint="eastAsia" w:cs="Times New Roman"/>
                <w:color w:val="auto"/>
              </w:rPr>
              <w:t>/</w:t>
            </w:r>
          </w:p>
        </w:tc>
        <w:tc>
          <w:tcPr>
            <w:tcW w:w="1276" w:type="dxa"/>
            <w:shd w:val="clear" w:color="auto" w:fill="auto"/>
            <w:vAlign w:val="center"/>
          </w:tcPr>
          <w:p>
            <w:pPr>
              <w:pStyle w:val="35"/>
              <w:rPr>
                <w:rFonts w:hint="default" w:cs="Times New Roman"/>
                <w:color w:val="auto"/>
                <w:lang w:val="en-US"/>
              </w:rPr>
            </w:pPr>
            <w:r>
              <w:rPr>
                <w:rFonts w:hint="eastAsia" w:cs="Times New Roman"/>
                <w:color w:val="auto"/>
                <w:lang w:val="en-US" w:eastAsia="zh-CN"/>
              </w:rPr>
              <w:t>2.952</w:t>
            </w:r>
          </w:p>
        </w:tc>
        <w:tc>
          <w:tcPr>
            <w:tcW w:w="1927" w:type="dxa"/>
            <w:shd w:val="clear" w:color="auto" w:fill="auto"/>
            <w:vAlign w:val="center"/>
          </w:tcPr>
          <w:p>
            <w:pPr>
              <w:pStyle w:val="35"/>
              <w:rPr>
                <w:rFonts w:cs="Times New Roman"/>
                <w:color w:val="auto"/>
              </w:rPr>
            </w:pPr>
            <w:r>
              <w:rPr>
                <w:rFonts w:hint="eastAsia" w:cs="Times New Roman"/>
                <w:color w:val="auto"/>
              </w:rPr>
              <w:t>/</w:t>
            </w:r>
          </w:p>
        </w:tc>
        <w:tc>
          <w:tcPr>
            <w:tcW w:w="1333" w:type="dxa"/>
            <w:gridSpan w:val="2"/>
            <w:shd w:val="clear" w:color="auto" w:fill="auto"/>
            <w:vAlign w:val="center"/>
          </w:tcPr>
          <w:p>
            <w:pPr>
              <w:pStyle w:val="35"/>
              <w:rPr>
                <w:rFonts w:cs="Times New Roman"/>
                <w:color w:val="auto"/>
              </w:rPr>
            </w:pPr>
            <w:r>
              <w:rPr>
                <w:rFonts w:hint="eastAsia" w:cs="Times New Roman"/>
                <w:color w:val="auto"/>
              </w:rPr>
              <w:t>/</w:t>
            </w:r>
          </w:p>
        </w:tc>
        <w:tc>
          <w:tcPr>
            <w:tcW w:w="2235" w:type="dxa"/>
            <w:gridSpan w:val="3"/>
            <w:shd w:val="clear" w:color="auto" w:fill="auto"/>
            <w:vAlign w:val="center"/>
          </w:tcPr>
          <w:p>
            <w:pPr>
              <w:pStyle w:val="35"/>
              <w:rPr>
                <w:rFonts w:hint="default" w:cs="Times New Roman" w:eastAsiaTheme="minorEastAsia"/>
                <w:color w:val="auto"/>
                <w:lang w:val="en-US" w:eastAsia="zh-CN"/>
              </w:rPr>
            </w:pPr>
            <w:r>
              <w:rPr>
                <w:rFonts w:hint="eastAsia" w:cs="Times New Roman"/>
                <w:color w:val="auto"/>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氮氧化物</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w:t>
            </w:r>
          </w:p>
        </w:tc>
        <w:tc>
          <w:tcPr>
            <w:tcW w:w="1308"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w:t>
            </w:r>
          </w:p>
        </w:tc>
        <w:tc>
          <w:tcPr>
            <w:tcW w:w="1471"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hint="eastAsia" w:cs="Times New Roman" w:eastAsiaTheme="minorEastAsia"/>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0.2496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2434" w:type="dxa"/>
            <w:gridSpan w:val="2"/>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工业固体废物</w:t>
            </w:r>
          </w:p>
        </w:tc>
        <w:tc>
          <w:tcPr>
            <w:tcW w:w="992"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70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08"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3"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927" w:type="dxa"/>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7" w:type="dxa"/>
            <w:vMerge w:val="continue"/>
            <w:shd w:val="clear" w:color="auto" w:fill="auto"/>
            <w:vAlign w:val="center"/>
          </w:tcPr>
          <w:p>
            <w:pPr>
              <w:pStyle w:val="35"/>
              <w:rPr>
                <w:rFonts w:cs="Times New Roman"/>
                <w:color w:val="00B0F0"/>
                <w:szCs w:val="15"/>
              </w:rPr>
            </w:pPr>
          </w:p>
        </w:tc>
        <w:tc>
          <w:tcPr>
            <w:tcW w:w="1488" w:type="dxa"/>
            <w:shd w:val="clear" w:color="auto" w:fill="auto"/>
            <w:vAlign w:val="center"/>
          </w:tcPr>
          <w:p>
            <w:pPr>
              <w:pStyle w:val="35"/>
              <w:rPr>
                <w:rFonts w:cs="Times New Roman"/>
                <w:color w:val="000000" w:themeColor="text1"/>
                <w:szCs w:val="15"/>
                <w14:textFill>
                  <w14:solidFill>
                    <w14:schemeClr w14:val="tx1"/>
                  </w14:solidFill>
                </w14:textFill>
              </w:rPr>
            </w:pPr>
            <w:r>
              <w:rPr>
                <w:rFonts w:cs="Times New Roman"/>
                <w:color w:val="000000" w:themeColor="text1"/>
                <w:szCs w:val="15"/>
                <w14:textFill>
                  <w14:solidFill>
                    <w14:schemeClr w14:val="tx1"/>
                  </w14:solidFill>
                </w14:textFill>
              </w:rPr>
              <w:t>项目相关的其</w:t>
            </w:r>
          </w:p>
          <w:p>
            <w:pPr>
              <w:pStyle w:val="35"/>
              <w:rPr>
                <w:rFonts w:cs="Times New Roman"/>
                <w:color w:val="000000" w:themeColor="text1"/>
                <w:szCs w:val="15"/>
                <w14:textFill>
                  <w14:solidFill>
                    <w14:schemeClr w14:val="tx1"/>
                  </w14:solidFill>
                </w14:textFill>
              </w:rPr>
            </w:pPr>
            <w:r>
              <w:rPr>
                <w:rFonts w:cs="Times New Roman"/>
                <w:color w:val="000000" w:themeColor="text1"/>
                <w:szCs w:val="15"/>
                <w14:textFill>
                  <w14:solidFill>
                    <w14:schemeClr w14:val="tx1"/>
                  </w14:solidFill>
                </w14:textFill>
              </w:rPr>
              <w:t>它污染物</w:t>
            </w:r>
          </w:p>
        </w:tc>
        <w:tc>
          <w:tcPr>
            <w:tcW w:w="946" w:type="dxa"/>
            <w:shd w:val="clear" w:color="auto" w:fill="auto"/>
            <w:vAlign w:val="center"/>
          </w:tcPr>
          <w:p>
            <w:pPr>
              <w:pStyle w:val="35"/>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非甲烷</w:t>
            </w:r>
          </w:p>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总烃</w:t>
            </w:r>
          </w:p>
        </w:tc>
        <w:tc>
          <w:tcPr>
            <w:tcW w:w="992" w:type="dxa"/>
            <w:shd w:val="clear" w:color="auto" w:fill="auto"/>
            <w:vAlign w:val="center"/>
          </w:tcPr>
          <w:p>
            <w:pPr>
              <w:pStyle w:val="35"/>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11.973</w:t>
            </w:r>
          </w:p>
        </w:tc>
        <w:tc>
          <w:tcPr>
            <w:tcW w:w="1701"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8.46</w:t>
            </w:r>
          </w:p>
        </w:tc>
        <w:tc>
          <w:tcPr>
            <w:tcW w:w="1308"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1471"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31"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75"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1.33</w:t>
            </w:r>
          </w:p>
        </w:tc>
        <w:tc>
          <w:tcPr>
            <w:tcW w:w="1473"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489"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276" w:type="dxa"/>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13.303</w:t>
            </w:r>
          </w:p>
        </w:tc>
        <w:tc>
          <w:tcPr>
            <w:tcW w:w="1927" w:type="dxa"/>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1333" w:type="dxa"/>
            <w:gridSpan w:val="2"/>
            <w:shd w:val="clear" w:color="auto" w:fill="auto"/>
            <w:vAlign w:val="center"/>
          </w:tcPr>
          <w:p>
            <w:pPr>
              <w:pStyle w:val="35"/>
              <w:ind w:firstLine="0" w:firstLineChars="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2235" w:type="dxa"/>
            <w:gridSpan w:val="3"/>
            <w:shd w:val="clear" w:color="auto" w:fill="auto"/>
            <w:vAlign w:val="center"/>
          </w:tcPr>
          <w:p>
            <w:pPr>
              <w:pStyle w:val="35"/>
              <w:ind w:firstLine="0" w:firstLineChars="0"/>
              <w:rPr>
                <w:rFonts w:hint="default" w:cs="Times New Roman" w:eastAsiaTheme="minorEastAsia"/>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1.33</w:t>
            </w:r>
          </w:p>
        </w:tc>
      </w:tr>
    </w:tbl>
    <w:p>
      <w:pPr>
        <w:ind w:firstLine="360"/>
        <w:rPr>
          <w:rFonts w:cs="Times New Roman"/>
          <w:color w:val="FF0000"/>
          <w:sz w:val="18"/>
        </w:rPr>
        <w:sectPr>
          <w:pgSz w:w="23814" w:h="16839" w:orient="landscape"/>
          <w:pgMar w:top="1800" w:right="1440" w:bottom="1800" w:left="1440" w:header="851" w:footer="727" w:gutter="0"/>
          <w:pgBorders>
            <w:top w:val="none" w:sz="0" w:space="0"/>
            <w:left w:val="none" w:sz="0" w:space="0"/>
            <w:bottom w:val="none" w:sz="0" w:space="0"/>
            <w:right w:val="none" w:sz="0" w:space="0"/>
          </w:pgBorders>
          <w:cols w:space="425" w:num="1"/>
          <w:docGrid w:type="lines" w:linePitch="312" w:charSpace="0"/>
        </w:sectPr>
      </w:pPr>
      <w:r>
        <w:rPr>
          <w:rFonts w:cs="Times New Roman"/>
          <w:color w:val="000000" w:themeColor="text1"/>
          <w:sz w:val="18"/>
          <w14:textFill>
            <w14:solidFill>
              <w14:schemeClr w14:val="tx1"/>
            </w14:solidFill>
          </w14:textFill>
        </w:rPr>
        <w:t>注：1、排放增减量：(+)表示增加，(-)表示减少。2、(12)=(6)-(8)-(11)，(9)=(4)-(5)-(8)-(11)+(1)，3、计量单位：废水排放量——万吨/年；废气排放量——万标立方米/年；工业固体废物排放量——万吨/年；水污染物排放浓度——毫克/升；大气污染物排放浓度——</w:t>
      </w:r>
      <w:r>
        <w:rPr>
          <w:rFonts w:cs="Times New Roman"/>
          <w:sz w:val="18"/>
        </w:rPr>
        <w:t>毫克/立方米；水污染物排放量——吨/年；大气污染物排放量——吨/年</w:t>
      </w:r>
    </w:p>
    <w:p>
      <w:pPr>
        <w:pStyle w:val="2"/>
        <w:keepNext/>
        <w:keepLines/>
        <w:pageBreakBefore w:val="0"/>
        <w:widowControl w:val="0"/>
        <w:kinsoku/>
        <w:wordWrap/>
        <w:overflowPunct/>
        <w:topLinePunct w:val="0"/>
        <w:autoSpaceDE/>
        <w:autoSpaceDN/>
        <w:bidi w:val="0"/>
        <w:adjustRightInd/>
        <w:snapToGrid/>
        <w:spacing w:beforeLines="0" w:afterLines="0"/>
        <w:textAlignment w:val="auto"/>
      </w:pPr>
      <w:bookmarkStart w:id="547" w:name="_Toc30992"/>
      <w:bookmarkStart w:id="548" w:name="_Toc16480"/>
      <w:bookmarkStart w:id="549" w:name="_Toc7700"/>
      <w:bookmarkStart w:id="550" w:name="_Toc3126"/>
      <w:bookmarkStart w:id="551" w:name="_Toc22323"/>
      <w:bookmarkStart w:id="552" w:name="_Toc28230"/>
      <w:bookmarkStart w:id="553" w:name="_Toc11329"/>
      <w:r>
        <w:t>附图一  项目地理位置示意图</w:t>
      </w:r>
      <w:bookmarkEnd w:id="547"/>
      <w:bookmarkEnd w:id="548"/>
      <w:bookmarkEnd w:id="549"/>
      <w:bookmarkEnd w:id="550"/>
      <w:bookmarkEnd w:id="551"/>
      <w:bookmarkEnd w:id="552"/>
      <w:bookmarkEnd w:id="553"/>
    </w:p>
    <w:p>
      <w:pPr>
        <w:ind w:firstLine="0" w:firstLineChars="0"/>
        <w:jc w:val="both"/>
        <w:rPr>
          <w:rFonts w:eastAsia="宋体" w:cs="Times New Roman"/>
          <w:color w:val="FF0000"/>
          <w:sz w:val="21"/>
        </w:rPr>
      </w:pPr>
      <w:r>
        <w:drawing>
          <wp:anchor distT="0" distB="0" distL="114935" distR="114935" simplePos="0" relativeHeight="251664384" behindDoc="1" locked="0" layoutInCell="1" allowOverlap="1">
            <wp:simplePos x="0" y="0"/>
            <wp:positionH relativeFrom="column">
              <wp:posOffset>-31750</wp:posOffset>
            </wp:positionH>
            <wp:positionV relativeFrom="paragraph">
              <wp:posOffset>53975</wp:posOffset>
            </wp:positionV>
            <wp:extent cx="5676265" cy="8103870"/>
            <wp:effectExtent l="0" t="0" r="635"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76265" cy="8103870"/>
                    </a:xfrm>
                    <a:prstGeom prst="rect">
                      <a:avLst/>
                    </a:prstGeom>
                    <a:noFill/>
                    <a:ln>
                      <a:noFill/>
                    </a:ln>
                  </pic:spPr>
                </pic:pic>
              </a:graphicData>
            </a:graphic>
          </wp:anchor>
        </w:drawing>
      </w:r>
    </w:p>
    <w:p>
      <w:pPr>
        <w:pStyle w:val="3"/>
        <w:spacing w:before="156" w:after="156"/>
        <w:rPr>
          <w:rFonts w:cs="Times New Roman"/>
          <w:bCs/>
          <w:color w:val="FF0000"/>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554" w:name="_Toc32720"/>
      <w:bookmarkStart w:id="555" w:name="_Toc7875"/>
    </w:p>
    <w:p>
      <w:pPr>
        <w:pStyle w:val="2"/>
        <w:keepNext/>
        <w:keepLines/>
        <w:pageBreakBefore w:val="0"/>
        <w:widowControl w:val="0"/>
        <w:kinsoku/>
        <w:wordWrap/>
        <w:overflowPunct/>
        <w:topLinePunct w:val="0"/>
        <w:autoSpaceDE/>
        <w:autoSpaceDN/>
        <w:bidi w:val="0"/>
        <w:adjustRightInd/>
        <w:snapToGrid/>
        <w:spacing w:beforeLines="0" w:afterLines="0"/>
        <w:textAlignment w:val="auto"/>
      </w:pPr>
      <w:bookmarkStart w:id="556" w:name="_Toc30929"/>
      <w:bookmarkStart w:id="557" w:name="_Toc30247"/>
      <w:bookmarkStart w:id="558" w:name="_Toc20062"/>
      <w:bookmarkStart w:id="559" w:name="_Toc29268"/>
      <w:bookmarkStart w:id="560" w:name="_Toc6801"/>
      <w:r>
        <w:t>附图二  项目周边环境示意图</w:t>
      </w:r>
      <w:bookmarkEnd w:id="554"/>
      <w:bookmarkEnd w:id="555"/>
      <w:bookmarkEnd w:id="556"/>
      <w:bookmarkEnd w:id="557"/>
      <w:bookmarkEnd w:id="558"/>
      <w:bookmarkEnd w:id="559"/>
      <w:bookmarkEnd w:id="560"/>
      <w:bookmarkStart w:id="561" w:name="_Toc12365"/>
      <w:bookmarkStart w:id="562" w:name="_Toc27160"/>
    </w:p>
    <w:p>
      <w:pPr>
        <w:ind w:left="0" w:leftChars="0" w:firstLine="0" w:firstLineChars="0"/>
        <w:jc w:val="both"/>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935" distR="114935" simplePos="0" relativeHeight="251665408" behindDoc="1" locked="0" layoutInCell="1" allowOverlap="1">
            <wp:simplePos x="0" y="0"/>
            <wp:positionH relativeFrom="column">
              <wp:posOffset>-361950</wp:posOffset>
            </wp:positionH>
            <wp:positionV relativeFrom="paragraph">
              <wp:posOffset>68580</wp:posOffset>
            </wp:positionV>
            <wp:extent cx="5996940" cy="6654165"/>
            <wp:effectExtent l="0" t="0" r="3810" b="13335"/>
            <wp:wrapNone/>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9"/>
                    <a:stretch>
                      <a:fillRect/>
                    </a:stretch>
                  </pic:blipFill>
                  <pic:spPr>
                    <a:xfrm>
                      <a:off x="0" y="0"/>
                      <a:ext cx="5996940" cy="665416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6430645</wp:posOffset>
            </wp:positionH>
            <wp:positionV relativeFrom="paragraph">
              <wp:posOffset>3282315</wp:posOffset>
            </wp:positionV>
            <wp:extent cx="979170" cy="352425"/>
            <wp:effectExtent l="0" t="0" r="0" b="0"/>
            <wp:wrapNone/>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0"/>
                    <a:stretch>
                      <a:fillRect/>
                    </a:stretch>
                  </pic:blipFill>
                  <pic:spPr>
                    <a:xfrm>
                      <a:off x="0" y="0"/>
                      <a:ext cx="979170" cy="352425"/>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3201035</wp:posOffset>
            </wp:positionH>
            <wp:positionV relativeFrom="paragraph">
              <wp:posOffset>3863340</wp:posOffset>
            </wp:positionV>
            <wp:extent cx="979170" cy="352425"/>
            <wp:effectExtent l="0" t="0" r="0" b="0"/>
            <wp:wrapNone/>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1"/>
                    <a:stretch>
                      <a:fillRect/>
                    </a:stretch>
                  </pic:blipFill>
                  <pic:spPr>
                    <a:xfrm>
                      <a:off x="0" y="0"/>
                      <a:ext cx="979170" cy="35242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3450590</wp:posOffset>
            </wp:positionH>
            <wp:positionV relativeFrom="paragraph">
              <wp:posOffset>1668145</wp:posOffset>
            </wp:positionV>
            <wp:extent cx="1224280" cy="352425"/>
            <wp:effectExtent l="0" t="0" r="0" b="0"/>
            <wp:wrapNone/>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2"/>
                    <a:stretch>
                      <a:fillRect/>
                    </a:stretch>
                  </pic:blipFill>
                  <pic:spPr>
                    <a:xfrm>
                      <a:off x="0" y="0"/>
                      <a:ext cx="1224280" cy="352425"/>
                    </a:xfrm>
                    <a:prstGeom prst="rect">
                      <a:avLst/>
                    </a:prstGeom>
                    <a:noFill/>
                    <a:ln>
                      <a:noFill/>
                    </a:ln>
                  </pic:spPr>
                </pic:pic>
              </a:graphicData>
            </a:graphic>
          </wp:anchor>
        </w:drawing>
      </w:r>
    </w:p>
    <w:bookmarkEnd w:id="561"/>
    <w:bookmarkEnd w:id="562"/>
    <w:p>
      <w:pPr>
        <w:pStyle w:val="2"/>
        <w:keepNext/>
        <w:keepLines/>
        <w:pageBreakBefore w:val="0"/>
        <w:widowControl w:val="0"/>
        <w:kinsoku/>
        <w:wordWrap/>
        <w:overflowPunct/>
        <w:topLinePunct w:val="0"/>
        <w:autoSpaceDE/>
        <w:autoSpaceDN/>
        <w:bidi w:val="0"/>
        <w:adjustRightInd/>
        <w:snapToGrid/>
        <w:spacing w:beforeLines="0" w:afterLines="0"/>
        <w:textAlignment w:val="auto"/>
        <w:rPr>
          <w:rFonts w:hint="eastAsia"/>
          <w:lang w:val="en-US" w:eastAsia="zh-CN"/>
        </w:rPr>
      </w:pPr>
      <w:bookmarkStart w:id="563" w:name="_Toc17389"/>
      <w:bookmarkStart w:id="564" w:name="_Toc28990"/>
      <w:bookmarkStart w:id="565" w:name="_Toc23831"/>
      <w:r>
        <w:drawing>
          <wp:anchor distT="0" distB="0" distL="114935" distR="114935" simplePos="0" relativeHeight="251666432" behindDoc="1" locked="0" layoutInCell="1" allowOverlap="1">
            <wp:simplePos x="0" y="0"/>
            <wp:positionH relativeFrom="column">
              <wp:posOffset>476250</wp:posOffset>
            </wp:positionH>
            <wp:positionV relativeFrom="paragraph">
              <wp:posOffset>369570</wp:posOffset>
            </wp:positionV>
            <wp:extent cx="7936230" cy="5269230"/>
            <wp:effectExtent l="0" t="0" r="7620" b="7620"/>
            <wp:wrapNone/>
            <wp:docPr id="80" name="图片 80" descr="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厂区平面布置图"/>
                    <pic:cNvPicPr>
                      <a:picLocks noChangeAspect="1"/>
                    </pic:cNvPicPr>
                  </pic:nvPicPr>
                  <pic:blipFill>
                    <a:blip r:embed="rId23"/>
                    <a:stretch>
                      <a:fillRect/>
                    </a:stretch>
                  </pic:blipFill>
                  <pic:spPr>
                    <a:xfrm>
                      <a:off x="0" y="0"/>
                      <a:ext cx="7936230" cy="5269230"/>
                    </a:xfrm>
                    <a:prstGeom prst="rect">
                      <a:avLst/>
                    </a:prstGeom>
                  </pic:spPr>
                </pic:pic>
              </a:graphicData>
            </a:graphic>
          </wp:anchor>
        </w:drawing>
      </w:r>
      <w:r>
        <w:t>附图</w:t>
      </w:r>
      <w:r>
        <w:rPr>
          <w:rFonts w:hint="eastAsia"/>
        </w:rPr>
        <w:t>三</w:t>
      </w:r>
      <w:r>
        <w:t xml:space="preserve"> 项目厂区平面布置图</w:t>
      </w:r>
      <w:bookmarkEnd w:id="563"/>
    </w:p>
    <w:p>
      <w:pPr>
        <w:jc w:val="center"/>
      </w:pPr>
    </w:p>
    <w:p>
      <w:pPr>
        <w:pStyle w:val="2"/>
        <w:spacing w:before="156" w:after="156"/>
      </w:pPr>
      <w:bookmarkStart w:id="566" w:name="_Toc31589"/>
      <w:bookmarkStart w:id="567" w:name="_Toc10747"/>
      <w:r>
        <w:rPr>
          <w:sz w:val="30"/>
        </w:rPr>
        <mc:AlternateContent>
          <mc:Choice Requires="wps">
            <w:drawing>
              <wp:anchor distT="0" distB="0" distL="114300" distR="114300" simplePos="0" relativeHeight="251668480" behindDoc="0" locked="0" layoutInCell="1" allowOverlap="1">
                <wp:simplePos x="0" y="0"/>
                <wp:positionH relativeFrom="column">
                  <wp:posOffset>7723505</wp:posOffset>
                </wp:positionH>
                <wp:positionV relativeFrom="paragraph">
                  <wp:posOffset>3047365</wp:posOffset>
                </wp:positionV>
                <wp:extent cx="931545" cy="380365"/>
                <wp:effectExtent l="387985" t="6350" r="13970" b="260985"/>
                <wp:wrapNone/>
                <wp:docPr id="82" name="矩形标注 82"/>
                <wp:cNvGraphicFramePr/>
                <a:graphic xmlns:a="http://schemas.openxmlformats.org/drawingml/2006/main">
                  <a:graphicData uri="http://schemas.microsoft.com/office/word/2010/wordprocessingShape">
                    <wps:wsp>
                      <wps:cNvSpPr/>
                      <wps:spPr>
                        <a:xfrm>
                          <a:off x="9370695" y="4997450"/>
                          <a:ext cx="931545" cy="380365"/>
                        </a:xfrm>
                        <a:prstGeom prst="wedgeRectCallout">
                          <a:avLst>
                            <a:gd name="adj1" fmla="val -86468"/>
                            <a:gd name="adj2" fmla="val 109766"/>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长垣市玖伍电缆有限公司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08.15pt;margin-top:239.95pt;height:29.95pt;width:73.35pt;z-index:251668480;v-text-anchor:middle;mso-width-relative:page;mso-height-relative:page;" fillcolor="#FFFFFF [3201]" filled="t" stroked="t" coordsize="21600,21600" o:gfxdata="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Sy4CZ2wAAAA0BAAAPAAAAAAAA&#10;AAEAIAAAACIAAABkcnMvZG93bnJldi54bWxQSwECFAAUAAAACACHTuJAyHet5roCAABxBQAADgAA&#10;AAAAAAABACAAAAAqAQAAZHJzL2Uyb0RvYy54bWxQSwUGAAAAAAYABgBZAQAAVgYAAAAA&#10;" adj="-7877,34509">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18"/>
                          <w:szCs w:val="18"/>
                          <w:lang w:val="en-US" w:eastAsia="zh-CN"/>
                        </w:rPr>
                      </w:pPr>
                      <w:r>
                        <w:rPr>
                          <w:rFonts w:hint="eastAsia"/>
                          <w:sz w:val="18"/>
                          <w:szCs w:val="18"/>
                          <w:lang w:val="en-US" w:eastAsia="zh-CN"/>
                        </w:rPr>
                        <w:t>长垣市玖伍电缆有限公司</w:t>
                      </w:r>
                    </w:p>
                  </w:txbxContent>
                </v:textbox>
              </v:shape>
            </w:pict>
          </mc:Fallback>
        </mc:AlternateContent>
      </w:r>
      <w:r>
        <w:rPr>
          <w:sz w:val="30"/>
        </w:rPr>
        <mc:AlternateContent>
          <mc:Choice Requires="wps">
            <w:drawing>
              <wp:anchor distT="0" distB="0" distL="114300" distR="114300" simplePos="0" relativeHeight="251667456" behindDoc="0" locked="0" layoutInCell="1" allowOverlap="1">
                <wp:simplePos x="0" y="0"/>
                <wp:positionH relativeFrom="column">
                  <wp:posOffset>6675120</wp:posOffset>
                </wp:positionH>
                <wp:positionV relativeFrom="paragraph">
                  <wp:posOffset>3437255</wp:posOffset>
                </wp:positionV>
                <wp:extent cx="923925" cy="342900"/>
                <wp:effectExtent l="6350" t="6350" r="22225" b="12700"/>
                <wp:wrapNone/>
                <wp:docPr id="81" name="矩形 81"/>
                <wp:cNvGraphicFramePr/>
                <a:graphic xmlns:a="http://schemas.openxmlformats.org/drawingml/2006/main">
                  <a:graphicData uri="http://schemas.microsoft.com/office/word/2010/wordprocessingShape">
                    <wps:wsp>
                      <wps:cNvSpPr/>
                      <wps:spPr>
                        <a:xfrm>
                          <a:off x="7589520" y="5273675"/>
                          <a:ext cx="923925" cy="342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5.6pt;margin-top:270.65pt;height:27pt;width:72.75pt;z-index:251667456;v-text-anchor:middle;mso-width-relative:page;mso-height-relative:page;" fillcolor="#FFFFFF [3201]" filled="t" stroked="t" coordsize="21600,21600" o:gfxdata="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7wAnvZAAAADQEAAA8AAAAAAAAAAQAgAAAA&#10;IgAAAGRycy9kb3ducmV2LnhtbFBLAQIUABQAAAAIAIdO4kDwQXOmfAIAAAEFAAAOAAAAAAAAAAEA&#10;IAAAACgBAABkcnMvZTJvRG9jLnhtbFBLBQYAAAAABgAGAFkBAAAWBgAAAAA=&#10;">
                <v:fill on="t" focussize="0,0"/>
                <v:stroke weight="1pt" color="#000000 [3200]" miterlimit="8" joinstyle="miter"/>
                <v:imagedata o:title=""/>
                <o:lock v:ext="edit" aspectratio="f"/>
              </v:rect>
            </w:pict>
          </mc:Fallback>
        </mc:AlternateContent>
      </w:r>
      <w:r>
        <w:br w:type="page"/>
      </w:r>
      <w:bookmarkEnd w:id="566"/>
      <w:bookmarkEnd w:id="567"/>
    </w:p>
    <w:bookmarkEnd w:id="564"/>
    <w:bookmarkEnd w:id="565"/>
    <w:p>
      <w:pPr>
        <w:pStyle w:val="2"/>
        <w:keepNext/>
        <w:keepLines/>
        <w:pageBreakBefore w:val="0"/>
        <w:widowControl w:val="0"/>
        <w:kinsoku/>
        <w:wordWrap/>
        <w:overflowPunct/>
        <w:topLinePunct w:val="0"/>
        <w:autoSpaceDE/>
        <w:autoSpaceDN/>
        <w:bidi w:val="0"/>
        <w:adjustRightInd/>
        <w:snapToGrid/>
        <w:spacing w:beforeLines="0" w:afterLines="0"/>
        <w:textAlignment w:val="auto"/>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bookmarkStart w:id="568" w:name="_Toc29623"/>
      <w:bookmarkStart w:id="569" w:name="_Toc24405"/>
      <w:bookmarkStart w:id="570" w:name="_Toc32566"/>
      <w:bookmarkStart w:id="571" w:name="_Toc16296"/>
      <w:bookmarkStart w:id="572" w:name="_Toc21315"/>
      <w:bookmarkStart w:id="573" w:name="_Toc8486"/>
      <w:bookmarkStart w:id="574" w:name="_Toc591"/>
    </w:p>
    <w:p>
      <w:pPr>
        <w:pStyle w:val="2"/>
        <w:keepNext/>
        <w:keepLines/>
        <w:pageBreakBefore w:val="0"/>
        <w:widowControl w:val="0"/>
        <w:kinsoku/>
        <w:wordWrap/>
        <w:overflowPunct/>
        <w:topLinePunct w:val="0"/>
        <w:autoSpaceDE/>
        <w:autoSpaceDN/>
        <w:bidi w:val="0"/>
        <w:adjustRightInd/>
        <w:snapToGrid/>
        <w:spacing w:beforeLines="0" w:afterLines="0"/>
        <w:textAlignment w:val="auto"/>
        <w:rPr>
          <w:rFonts w:hint="default"/>
          <w:lang w:val="en-US"/>
        </w:rPr>
      </w:pPr>
      <w:r>
        <w:drawing>
          <wp:anchor distT="0" distB="0" distL="114935" distR="114935" simplePos="0" relativeHeight="251664384" behindDoc="1" locked="0" layoutInCell="1" allowOverlap="1">
            <wp:simplePos x="0" y="0"/>
            <wp:positionH relativeFrom="column">
              <wp:posOffset>-180975</wp:posOffset>
            </wp:positionH>
            <wp:positionV relativeFrom="paragraph">
              <wp:posOffset>588645</wp:posOffset>
            </wp:positionV>
            <wp:extent cx="5706745" cy="8228965"/>
            <wp:effectExtent l="0" t="0" r="8255" b="63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4"/>
                    <a:stretch>
                      <a:fillRect/>
                    </a:stretch>
                  </pic:blipFill>
                  <pic:spPr>
                    <a:xfrm>
                      <a:off x="0" y="0"/>
                      <a:ext cx="5706745" cy="8228965"/>
                    </a:xfrm>
                    <a:prstGeom prst="rect">
                      <a:avLst/>
                    </a:prstGeom>
                    <a:noFill/>
                    <a:ln>
                      <a:noFill/>
                    </a:ln>
                  </pic:spPr>
                </pic:pic>
              </a:graphicData>
            </a:graphic>
          </wp:anchor>
        </w:drawing>
      </w:r>
      <w:r>
        <w:t>附图</w:t>
      </w:r>
      <w:r>
        <w:rPr>
          <w:rFonts w:hint="eastAsia"/>
          <w:lang w:val="en-US" w:eastAsia="zh-CN"/>
        </w:rPr>
        <w:t>四</w:t>
      </w:r>
      <w:r>
        <w:t xml:space="preserve"> </w:t>
      </w:r>
      <w:r>
        <w:rPr>
          <w:rFonts w:hint="eastAsia"/>
          <w:lang w:val="en-US" w:eastAsia="zh-CN"/>
        </w:rPr>
        <w:t>长垣产业集聚区土地利用规划图</w:t>
      </w:r>
      <w:bookmarkEnd w:id="568"/>
    </w:p>
    <w:p>
      <w:pPr>
        <w:pStyle w:val="2"/>
        <w:spacing w:before="156" w:after="156"/>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156" w:after="156"/>
        <w:rPr>
          <w:rFonts w:eastAsia="宋体" w:cs="Times New Roman"/>
          <w:b/>
          <w:bCs/>
          <w:color w:val="FF0000"/>
          <w:sz w:val="28"/>
          <w:szCs w:val="28"/>
        </w:rPr>
      </w:pPr>
      <w:bookmarkStart w:id="575" w:name="_Toc15740"/>
      <w:r>
        <w:t>附件</w:t>
      </w:r>
      <w:r>
        <w:rPr>
          <w:rFonts w:hint="eastAsia"/>
        </w:rPr>
        <w:t>1</w:t>
      </w:r>
      <w:r>
        <w:t xml:space="preserve"> 环境影响评价批复文件</w:t>
      </w:r>
      <w:bookmarkEnd w:id="569"/>
      <w:bookmarkEnd w:id="570"/>
      <w:bookmarkEnd w:id="571"/>
      <w:bookmarkEnd w:id="572"/>
      <w:bookmarkEnd w:id="573"/>
      <w:bookmarkEnd w:id="574"/>
      <w:bookmarkEnd w:id="575"/>
    </w:p>
    <w:p>
      <w:pPr>
        <w:ind w:left="0" w:leftChars="0" w:firstLine="0" w:firstLineChars="0"/>
        <w:rPr>
          <w:rFonts w:hint="eastAsia" w:eastAsia="宋体" w:cs="Times New Roman"/>
          <w:b/>
          <w:bCs/>
          <w:color w:val="FF000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cs="Times New Roman"/>
          <w:b/>
          <w:bCs/>
          <w:color w:val="FF0000"/>
          <w:sz w:val="28"/>
          <w:szCs w:val="28"/>
          <w:lang w:eastAsia="zh-CN"/>
        </w:rPr>
        <w:drawing>
          <wp:anchor distT="0" distB="0" distL="114935" distR="114935" simplePos="0" relativeHeight="251669504" behindDoc="1" locked="0" layoutInCell="1" allowOverlap="1">
            <wp:simplePos x="0" y="0"/>
            <wp:positionH relativeFrom="column">
              <wp:posOffset>0</wp:posOffset>
            </wp:positionH>
            <wp:positionV relativeFrom="paragraph">
              <wp:posOffset>-41910</wp:posOffset>
            </wp:positionV>
            <wp:extent cx="5182870" cy="8425815"/>
            <wp:effectExtent l="0" t="0" r="0" b="0"/>
            <wp:wrapNone/>
            <wp:docPr id="83" name="图片 83" descr="3.1环评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1环评批复"/>
                    <pic:cNvPicPr>
                      <a:picLocks noChangeAspect="1"/>
                    </pic:cNvPicPr>
                  </pic:nvPicPr>
                  <pic:blipFill>
                    <a:blip r:embed="rId25"/>
                    <a:srcRect l="-184" t="4800" r="184"/>
                    <a:stretch>
                      <a:fillRect/>
                    </a:stretch>
                  </pic:blipFill>
                  <pic:spPr>
                    <a:xfrm>
                      <a:off x="0" y="0"/>
                      <a:ext cx="5182870" cy="8425815"/>
                    </a:xfrm>
                    <a:prstGeom prst="rect">
                      <a:avLst/>
                    </a:prstGeom>
                  </pic:spPr>
                </pic:pic>
              </a:graphicData>
            </a:graphic>
          </wp:anchor>
        </w:drawing>
      </w:r>
    </w:p>
    <w:p>
      <w:pPr>
        <w:pStyle w:val="2"/>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eastAsia="zh-CN"/>
        </w:rPr>
        <w:drawing>
          <wp:inline distT="0" distB="0" distL="114300" distR="114300">
            <wp:extent cx="5271135" cy="8785225"/>
            <wp:effectExtent l="0" t="0" r="5715" b="15875"/>
            <wp:docPr id="84" name="图片 84" descr="3.2环评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2环评批复"/>
                    <pic:cNvPicPr>
                      <a:picLocks noChangeAspect="1"/>
                    </pic:cNvPicPr>
                  </pic:nvPicPr>
                  <pic:blipFill>
                    <a:blip r:embed="rId26"/>
                    <a:stretch>
                      <a:fillRect/>
                    </a:stretch>
                  </pic:blipFill>
                  <pic:spPr>
                    <a:xfrm>
                      <a:off x="0" y="0"/>
                      <a:ext cx="5271135" cy="8785225"/>
                    </a:xfrm>
                    <a:prstGeom prst="rect">
                      <a:avLst/>
                    </a:prstGeom>
                  </pic:spPr>
                </pic:pic>
              </a:graphicData>
            </a:graphic>
          </wp:inline>
        </w:drawing>
      </w:r>
    </w:p>
    <w:p>
      <w:pPr>
        <w:pStyle w:val="2"/>
        <w:spacing w:before="156" w:after="156"/>
      </w:pPr>
      <w:bookmarkStart w:id="576" w:name="_Toc17498"/>
      <w:bookmarkStart w:id="577" w:name="_Toc340"/>
      <w:bookmarkStart w:id="578" w:name="_Toc18910"/>
      <w:bookmarkStart w:id="579" w:name="_Toc20623"/>
      <w:bookmarkStart w:id="580" w:name="_Toc17556"/>
      <w:bookmarkStart w:id="581" w:name="_Toc21382"/>
      <w:bookmarkStart w:id="582" w:name="_Toc22530"/>
      <w:r>
        <w:drawing>
          <wp:anchor distT="0" distB="0" distL="114935" distR="114935" simplePos="0" relativeHeight="251669504" behindDoc="1" locked="0" layoutInCell="1" allowOverlap="1">
            <wp:simplePos x="0" y="0"/>
            <wp:positionH relativeFrom="column">
              <wp:posOffset>-219075</wp:posOffset>
            </wp:positionH>
            <wp:positionV relativeFrom="paragraph">
              <wp:posOffset>432435</wp:posOffset>
            </wp:positionV>
            <wp:extent cx="5734050" cy="8281035"/>
            <wp:effectExtent l="0" t="0" r="0" b="5715"/>
            <wp:wrapNone/>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27"/>
                    <a:stretch>
                      <a:fillRect/>
                    </a:stretch>
                  </pic:blipFill>
                  <pic:spPr>
                    <a:xfrm>
                      <a:off x="0" y="0"/>
                      <a:ext cx="5734050" cy="8281035"/>
                    </a:xfrm>
                    <a:prstGeom prst="rect">
                      <a:avLst/>
                    </a:prstGeom>
                    <a:noFill/>
                    <a:ln>
                      <a:noFill/>
                    </a:ln>
                  </pic:spPr>
                </pic:pic>
              </a:graphicData>
            </a:graphic>
          </wp:anchor>
        </w:drawing>
      </w:r>
      <w:r>
        <w:t>附件</w:t>
      </w:r>
      <w:r>
        <w:rPr>
          <w:rFonts w:hint="eastAsia"/>
          <w:lang w:val="en-US" w:eastAsia="zh-CN"/>
        </w:rPr>
        <w:t>2</w:t>
      </w:r>
      <w:r>
        <w:t xml:space="preserve"> 检测单位资质</w:t>
      </w:r>
      <w:bookmarkEnd w:id="576"/>
      <w:bookmarkEnd w:id="577"/>
    </w:p>
    <w:p>
      <w:pPr>
        <w:ind w:firstLine="480"/>
      </w:pPr>
    </w:p>
    <w:p>
      <w:pPr>
        <w:pStyle w:val="2"/>
        <w:spacing w:before="156" w:after="156"/>
      </w:pPr>
    </w:p>
    <w:bookmarkEnd w:id="578"/>
    <w:bookmarkEnd w:id="579"/>
    <w:bookmarkEnd w:id="580"/>
    <w:bookmarkEnd w:id="581"/>
    <w:bookmarkEnd w:id="582"/>
    <w:p>
      <w:pPr>
        <w:ind w:left="0" w:leftChars="0" w:firstLine="0" w:firstLineChars="0"/>
        <w:sectPr>
          <w:headerReference r:id="rId14" w:type="default"/>
          <w:footerReference r:id="rId15"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Lines="0" w:afterLines="0"/>
        <w:textAlignment w:val="auto"/>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83" w:name="_Toc170"/>
      <w:r>
        <w:drawing>
          <wp:anchor distT="0" distB="0" distL="114935" distR="114935" simplePos="0" relativeHeight="251669504" behindDoc="1" locked="0" layoutInCell="1" allowOverlap="1">
            <wp:simplePos x="0" y="0"/>
            <wp:positionH relativeFrom="column">
              <wp:posOffset>-504825</wp:posOffset>
            </wp:positionH>
            <wp:positionV relativeFrom="paragraph">
              <wp:posOffset>481965</wp:posOffset>
            </wp:positionV>
            <wp:extent cx="6098540" cy="8162290"/>
            <wp:effectExtent l="0" t="0" r="16510" b="10160"/>
            <wp:wrapNone/>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8"/>
                    <a:stretch>
                      <a:fillRect/>
                    </a:stretch>
                  </pic:blipFill>
                  <pic:spPr>
                    <a:xfrm>
                      <a:off x="0" y="0"/>
                      <a:ext cx="6098540" cy="8162290"/>
                    </a:xfrm>
                    <a:prstGeom prst="rect">
                      <a:avLst/>
                    </a:prstGeom>
                    <a:noFill/>
                    <a:ln>
                      <a:noFill/>
                    </a:ln>
                  </pic:spPr>
                </pic:pic>
              </a:graphicData>
            </a:graphic>
          </wp:anchor>
        </w:drawing>
      </w:r>
      <w:r>
        <w:rPr>
          <w:rFonts w:hint="eastAsia"/>
          <w:lang w:val="en-US" w:eastAsia="zh-CN"/>
        </w:rPr>
        <w:t>附件3 危险废物协议</w:t>
      </w:r>
      <w:bookmarkEnd w:id="583"/>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-539750</wp:posOffset>
            </wp:positionH>
            <wp:positionV relativeFrom="paragraph">
              <wp:posOffset>71120</wp:posOffset>
            </wp:positionV>
            <wp:extent cx="6463030" cy="8609965"/>
            <wp:effectExtent l="0" t="0" r="13970" b="635"/>
            <wp:wrapNone/>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29"/>
                    <a:stretch>
                      <a:fillRect/>
                    </a:stretch>
                  </pic:blipFill>
                  <pic:spPr>
                    <a:xfrm>
                      <a:off x="0" y="0"/>
                      <a:ext cx="6463030" cy="860996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-568325</wp:posOffset>
            </wp:positionH>
            <wp:positionV relativeFrom="paragraph">
              <wp:posOffset>22860</wp:posOffset>
            </wp:positionV>
            <wp:extent cx="6534785" cy="8705850"/>
            <wp:effectExtent l="0" t="0" r="18415" b="0"/>
            <wp:wrapNone/>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30"/>
                    <a:stretch>
                      <a:fillRect/>
                    </a:stretch>
                  </pic:blipFill>
                  <pic:spPr>
                    <a:xfrm>
                      <a:off x="0" y="0"/>
                      <a:ext cx="6534785" cy="870585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-460375</wp:posOffset>
            </wp:positionH>
            <wp:positionV relativeFrom="paragraph">
              <wp:posOffset>191770</wp:posOffset>
            </wp:positionV>
            <wp:extent cx="6401435" cy="8524240"/>
            <wp:effectExtent l="0" t="0" r="18415" b="10160"/>
            <wp:wrapNone/>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31"/>
                    <a:stretch>
                      <a:fillRect/>
                    </a:stretch>
                  </pic:blipFill>
                  <pic:spPr>
                    <a:xfrm>
                      <a:off x="0" y="0"/>
                      <a:ext cx="6401435" cy="852424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-441325</wp:posOffset>
            </wp:positionH>
            <wp:positionV relativeFrom="paragraph">
              <wp:posOffset>299085</wp:posOffset>
            </wp:positionV>
            <wp:extent cx="6236970" cy="8365490"/>
            <wp:effectExtent l="0" t="0" r="11430" b="16510"/>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32"/>
                    <a:stretch>
                      <a:fillRect/>
                    </a:stretch>
                  </pic:blipFill>
                  <pic:spPr>
                    <a:xfrm>
                      <a:off x="0" y="0"/>
                      <a:ext cx="6236970" cy="8365490"/>
                    </a:xfrm>
                    <a:prstGeom prst="rect">
                      <a:avLst/>
                    </a:prstGeom>
                    <a:noFill/>
                    <a:ln>
                      <a:noFill/>
                    </a:ln>
                  </pic:spPr>
                </pic:pic>
              </a:graphicData>
            </a:graphic>
          </wp:anchor>
        </w:drawing>
      </w:r>
      <w:r>
        <w:rPr>
          <w:rFonts w:hint="eastAsia"/>
          <w:lang w:val="en-US" w:eastAsia="zh-CN"/>
        </w:rPr>
        <w:t xml:space="preserve"> </w:t>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-539750</wp:posOffset>
            </wp:positionH>
            <wp:positionV relativeFrom="paragraph">
              <wp:posOffset>121920</wp:posOffset>
            </wp:positionV>
            <wp:extent cx="6487160" cy="8641715"/>
            <wp:effectExtent l="0" t="0" r="8890" b="6985"/>
            <wp:wrapNone/>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33"/>
                    <a:stretch>
                      <a:fillRect/>
                    </a:stretch>
                  </pic:blipFill>
                  <pic:spPr>
                    <a:xfrm>
                      <a:off x="0" y="0"/>
                      <a:ext cx="6487160" cy="8641715"/>
                    </a:xfrm>
                    <a:prstGeom prst="rect">
                      <a:avLst/>
                    </a:prstGeom>
                    <a:noFill/>
                    <a:ln>
                      <a:noFill/>
                    </a:ln>
                  </pic:spPr>
                </pic:pic>
              </a:graphicData>
            </a:graphic>
          </wp:anchor>
        </w:drawing>
      </w:r>
    </w:p>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hint="default"/>
          <w:lang w:val="en-US" w:eastAsia="zh-CN"/>
        </w:rPr>
      </w:pPr>
      <w:bookmarkStart w:id="584" w:name="_Toc21256"/>
      <w:r>
        <w:rPr>
          <w:rFonts w:hint="default"/>
          <w:lang w:val="en-US" w:eastAsia="zh-CN"/>
        </w:rPr>
        <w:t>附件</w:t>
      </w:r>
      <w:r>
        <w:rPr>
          <w:rFonts w:hint="eastAsia"/>
          <w:lang w:val="en-US" w:eastAsia="zh-CN"/>
        </w:rPr>
        <w:t>4</w:t>
      </w:r>
      <w:r>
        <w:rPr>
          <w:rFonts w:hint="default"/>
          <w:lang w:val="en-US" w:eastAsia="zh-CN"/>
        </w:rPr>
        <w:t xml:space="preserve"> 验收意见</w:t>
      </w:r>
      <w:bookmarkEnd w:id="584"/>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sz w:val="32"/>
          <w:szCs w:val="32"/>
          <w:lang w:eastAsia="zh-CN"/>
        </w:rPr>
      </w:pPr>
      <w:r>
        <w:rPr>
          <w:rFonts w:hint="default" w:ascii="Times New Roman" w:hAnsi="Times New Roman" w:eastAsia="宋体" w:cs="Times New Roman"/>
          <w:b/>
          <w:bCs w:val="0"/>
          <w:sz w:val="32"/>
          <w:szCs w:val="32"/>
          <w:lang w:eastAsia="zh-CN"/>
        </w:rPr>
        <w:t>纽科伦（新乡）起重机有限公司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sz w:val="32"/>
          <w:szCs w:val="32"/>
          <w:lang w:eastAsia="zh-CN"/>
        </w:rPr>
      </w:pPr>
      <w:r>
        <w:rPr>
          <w:rFonts w:hint="default" w:ascii="Times New Roman" w:hAnsi="Times New Roman" w:eastAsia="宋体" w:cs="Times New Roman"/>
          <w:b/>
          <w:bCs w:val="0"/>
          <w:sz w:val="32"/>
          <w:szCs w:val="32"/>
          <w:lang w:eastAsia="zh-CN"/>
        </w:rPr>
        <w:t>年产2万台起重机、100台立体车库、</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val="0"/>
          <w:sz w:val="32"/>
          <w:szCs w:val="32"/>
          <w:lang w:eastAsia="zh-CN"/>
        </w:rPr>
      </w:pPr>
      <w:r>
        <w:rPr>
          <w:rFonts w:hint="default" w:ascii="Times New Roman" w:hAnsi="Times New Roman" w:eastAsia="宋体" w:cs="Times New Roman"/>
          <w:b/>
          <w:bCs w:val="0"/>
          <w:sz w:val="32"/>
          <w:szCs w:val="32"/>
          <w:lang w:eastAsia="zh-CN"/>
        </w:rPr>
        <w:t>3万台电动葫芦及配件项目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24"/>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lang w:eastAsia="zh-CN"/>
        </w:rPr>
        <w:t>竣工环境保护验收</w:t>
      </w:r>
      <w:r>
        <w:rPr>
          <w:rStyle w:val="24"/>
          <w:rFonts w:hint="default" w:ascii="Times New Roman" w:hAnsi="Times New Roman" w:eastAsia="宋体" w:cs="Times New Roman"/>
          <w:b/>
          <w:bCs w:val="0"/>
          <w:sz w:val="32"/>
          <w:szCs w:val="32"/>
        </w:rPr>
        <w:t>意见</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2023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年</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04</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月</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日，</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纽科伦（新乡）起重机有限公司年产2万台起重机、100台立体车库、3万台电动葫芦及配件项目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评审会在长垣市召开。验收专家组通过审阅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4"/>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ind w:firstLine="480"/>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纽科伦（新乡）起重机有限公司在</w:t>
      </w:r>
      <w:r>
        <w:t>长垣市河南起重机工业园区巨人大道</w:t>
      </w:r>
      <w:r>
        <w:rPr>
          <w:rFonts w:hint="default" w:ascii="Times New Roman" w:hAnsi="Times New Roman" w:eastAsia="宋体" w:cs="Times New Roman"/>
          <w:bCs/>
          <w:color w:val="000000" w:themeColor="text1"/>
          <w:sz w:val="24"/>
          <w:szCs w:val="24"/>
          <w:lang w:eastAsia="zh-CN"/>
          <w14:textFill>
            <w14:solidFill>
              <w14:schemeClr w14:val="tx1"/>
            </w14:solidFill>
          </w14:textFill>
        </w:rPr>
        <w:t>建设</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年产2万台起重机、100台立体车库、3万台电动葫芦及配件项目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项目占地约269245.35平方米</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eastAsia="宋体" w:cs="Times New Roman"/>
          <w:b w:val="0"/>
          <w:bCs/>
          <w:color w:val="000000" w:themeColor="text1"/>
          <w:sz w:val="24"/>
          <w:szCs w:val="24"/>
          <w:highlight w:val="none"/>
          <w:lang w:val="en-US" w:eastAsia="zh-CN"/>
          <w14:textFill>
            <w14:solidFill>
              <w14:schemeClr w14:val="tx1"/>
            </w14:solidFill>
          </w14:textFill>
        </w:rPr>
        <w:t>6400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eastAsia="宋体" w:cs="Times New Roman"/>
          <w:b w:val="0"/>
          <w:bCs/>
          <w:color w:val="000000" w:themeColor="text1"/>
          <w:sz w:val="24"/>
          <w:szCs w:val="24"/>
          <w:highlight w:val="none"/>
          <w:lang w:val="en-US" w:eastAsia="zh-CN"/>
          <w14:textFill>
            <w14:solidFill>
              <w14:schemeClr w14:val="tx1"/>
            </w14:solidFill>
          </w14:textFill>
        </w:rPr>
        <w:t>1000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万元。      </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ageBreakBefore w:val="0"/>
        <w:widowControl/>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《纽科伦（新乡）起重机有限公司年产2万台起重机、100台立体车库、3万台电动葫芦及配件项目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w:t>
      </w:r>
      <w:r>
        <w:rPr>
          <w:rFonts w:hint="eastAsia" w:eastAsia="宋体" w:cs="Times New Roman"/>
          <w:color w:val="000000" w:themeColor="text1"/>
          <w:sz w:val="24"/>
          <w:szCs w:val="24"/>
          <w:lang w:val="en-US" w:eastAsia="zh-CN"/>
          <w14:textFill>
            <w14:solidFill>
              <w14:schemeClr w14:val="tx1"/>
            </w14:solidFill>
          </w14:textFill>
        </w:rPr>
        <w:t>书</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cs="Times New Roman"/>
          <w:lang w:val="en-US" w:eastAsia="zh-CN"/>
        </w:rPr>
        <w:t>广州市环境保护工程设计院有限公司</w:t>
      </w:r>
      <w:r>
        <w:rPr>
          <w:rFonts w:hint="default" w:ascii="Times New Roman" w:hAnsi="Times New Roman" w:eastAsia="宋体" w:cs="Times New Roman"/>
          <w:sz w:val="24"/>
          <w:szCs w:val="24"/>
        </w:rPr>
        <w:t>编制完成了本项目的环境影响报告书。20</w:t>
      </w:r>
      <w:r>
        <w:rPr>
          <w:rFonts w:hint="eastAsia" w:eastAsia="宋体" w:cs="Times New Roman"/>
          <w:sz w:val="24"/>
          <w:szCs w:val="24"/>
          <w:lang w:val="en-US" w:eastAsia="zh-CN"/>
        </w:rPr>
        <w:t>19</w:t>
      </w:r>
      <w:r>
        <w:rPr>
          <w:rFonts w:hint="default" w:ascii="Times New Roman" w:hAnsi="Times New Roman" w:eastAsia="宋体" w:cs="Times New Roman"/>
          <w:sz w:val="24"/>
          <w:szCs w:val="24"/>
        </w:rPr>
        <w:t>年</w:t>
      </w:r>
      <w:r>
        <w:rPr>
          <w:rFonts w:hint="eastAsia" w:eastAsia="宋体" w:cs="Times New Roman"/>
          <w:sz w:val="24"/>
          <w:szCs w:val="24"/>
          <w:lang w:val="en-US" w:eastAsia="zh-CN"/>
        </w:rPr>
        <w:t>08</w:t>
      </w:r>
      <w:r>
        <w:rPr>
          <w:rFonts w:hint="default" w:ascii="Times New Roman" w:hAnsi="Times New Roman" w:eastAsia="宋体" w:cs="Times New Roman"/>
          <w:sz w:val="24"/>
          <w:szCs w:val="24"/>
        </w:rPr>
        <w:t>月</w:t>
      </w:r>
      <w:r>
        <w:rPr>
          <w:rFonts w:hint="eastAsia" w:eastAsia="宋体" w:cs="Times New Roman"/>
          <w:sz w:val="24"/>
          <w:szCs w:val="24"/>
          <w:lang w:val="en-US" w:eastAsia="zh-CN"/>
        </w:rPr>
        <w:t>05</w:t>
      </w:r>
      <w:r>
        <w:rPr>
          <w:rFonts w:hint="default" w:ascii="Times New Roman" w:hAnsi="Times New Roman" w:eastAsia="宋体" w:cs="Times New Roman"/>
          <w:sz w:val="24"/>
          <w:szCs w:val="24"/>
        </w:rPr>
        <w:t>日，</w:t>
      </w:r>
      <w:r>
        <w:rPr>
          <w:rFonts w:hint="default" w:ascii="Times New Roman" w:hAnsi="Times New Roman" w:eastAsia="宋体" w:cs="Times New Roman"/>
          <w:sz w:val="24"/>
          <w:szCs w:val="24"/>
          <w:lang w:val="en-US" w:eastAsia="zh-CN"/>
        </w:rPr>
        <w:t>长垣</w:t>
      </w:r>
      <w:r>
        <w:rPr>
          <w:rFonts w:hint="eastAsia" w:eastAsia="宋体" w:cs="Times New Roman"/>
          <w:sz w:val="24"/>
          <w:szCs w:val="24"/>
          <w:lang w:val="en-US" w:eastAsia="zh-CN"/>
        </w:rPr>
        <w:t>县环境保护局</w:t>
      </w:r>
      <w:r>
        <w:rPr>
          <w:rFonts w:hint="default" w:ascii="Times New Roman" w:hAnsi="Times New Roman" w:eastAsia="宋体" w:cs="Times New Roman"/>
          <w:sz w:val="24"/>
          <w:szCs w:val="24"/>
        </w:rPr>
        <w:t>对该报告书予以批复（长环（</w:t>
      </w:r>
      <w:r>
        <w:rPr>
          <w:rFonts w:hint="eastAsia" w:eastAsia="宋体" w:cs="Times New Roman"/>
          <w:sz w:val="24"/>
          <w:szCs w:val="24"/>
          <w:lang w:val="en-US" w:eastAsia="zh-CN"/>
        </w:rPr>
        <w:t>2019</w:t>
      </w:r>
      <w:r>
        <w:rPr>
          <w:rFonts w:hint="default" w:ascii="Times New Roman" w:hAnsi="Times New Roman" w:eastAsia="宋体" w:cs="Times New Roman"/>
          <w:sz w:val="24"/>
          <w:szCs w:val="24"/>
        </w:rPr>
        <w:t>）</w:t>
      </w:r>
      <w:r>
        <w:rPr>
          <w:rFonts w:hint="eastAsia" w:eastAsia="宋体" w:cs="Times New Roman"/>
          <w:sz w:val="24"/>
          <w:szCs w:val="24"/>
          <w:lang w:val="en-US" w:eastAsia="zh-CN"/>
        </w:rPr>
        <w:t>32</w:t>
      </w:r>
      <w:r>
        <w:rPr>
          <w:rFonts w:hint="default" w:ascii="Times New Roman" w:hAnsi="Times New Roman" w:eastAsia="宋体" w:cs="Times New Roman"/>
          <w:sz w:val="24"/>
          <w:szCs w:val="24"/>
        </w:rPr>
        <w:t>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2019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开工建设，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总投资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6400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万元，其中环保投资</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，占比为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15.6</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本次验收范围为纽科伦（新乡）起重机有限公司年产2万台起重机、100台立体车库、3万台电动葫芦及配件项目的主体工程、配套设施、辅助设施、环保设施的建设、运行及环保要求落实情况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二、工程变更情况</w:t>
      </w:r>
    </w:p>
    <w:p>
      <w:pPr>
        <w:pageBreakBefore w:val="0"/>
        <w:kinsoku/>
        <w:wordWrap/>
        <w:overflowPunct/>
        <w:topLinePunct w:val="0"/>
        <w:autoSpaceDE/>
        <w:autoSpaceDN/>
        <w:bidi w:val="0"/>
        <w:spacing w:line="520" w:lineRule="exact"/>
        <w:ind w:firstLine="480"/>
        <w:textAlignment w:val="auto"/>
        <w:rPr>
          <w:rFonts w:eastAsia="宋体" w:cs="Times New Roman"/>
          <w:color w:val="auto"/>
        </w:rPr>
      </w:pPr>
      <w:r>
        <w:rPr>
          <w:rFonts w:hint="eastAsia" w:eastAsia="宋体" w:cs="Times New Roman"/>
          <w:color w:val="auto"/>
        </w:rPr>
        <w:t>对照</w:t>
      </w:r>
      <w:r>
        <w:rPr>
          <w:rFonts w:eastAsia="宋体" w:cs="Times New Roman"/>
          <w:color w:val="auto"/>
        </w:rPr>
        <w:t>《</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w:t>
      </w:r>
      <w:r>
        <w:rPr>
          <w:rFonts w:hint="eastAsia" w:eastAsia="宋体" w:cs="Times New Roman"/>
          <w:color w:val="auto"/>
        </w:rPr>
        <w:t>及</w:t>
      </w:r>
      <w:r>
        <w:rPr>
          <w:rFonts w:hint="eastAsia" w:eastAsia="宋体" w:cs="Times New Roman"/>
          <w:color w:val="auto"/>
          <w:lang w:val="en-US" w:eastAsia="zh-CN"/>
        </w:rPr>
        <w:t>长垣县环境保护局</w:t>
      </w:r>
      <w:r>
        <w:rPr>
          <w:rFonts w:eastAsia="宋体" w:cs="Times New Roman"/>
          <w:color w:val="auto"/>
        </w:rPr>
        <w:t>关于《</w:t>
      </w:r>
      <w:r>
        <w:rPr>
          <w:color w:val="auto"/>
        </w:rPr>
        <w:t>纽科伦（新乡）起重机有限公司年产2万台起重机、100台立体车库、3万台电动葫芦及配件项目</w:t>
      </w:r>
      <w:r>
        <w:rPr>
          <w:rFonts w:hint="eastAsia" w:cs="Times New Roman"/>
          <w:color w:val="auto"/>
        </w:rPr>
        <w:t>环境影响报告书</w:t>
      </w:r>
      <w:r>
        <w:rPr>
          <w:rFonts w:eastAsia="宋体" w:cs="Times New Roman"/>
          <w:color w:val="auto"/>
        </w:rPr>
        <w:t>》的批复</w:t>
      </w:r>
      <w:r>
        <w:rPr>
          <w:rFonts w:hint="eastAsia" w:eastAsia="宋体" w:cs="Times New Roman"/>
          <w:color w:val="auto"/>
        </w:rPr>
        <w:t>。</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项目在实际建设中与环评相比，变动如下：</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1</w:t>
      </w:r>
      <w:r>
        <w:rPr>
          <w:rFonts w:hint="eastAsia" w:eastAsia="宋体" w:cs="Times New Roman"/>
          <w:color w:val="auto"/>
          <w:lang w:eastAsia="zh-CN"/>
        </w:rPr>
        <w:t>）</w:t>
      </w:r>
      <w:r>
        <w:rPr>
          <w:rFonts w:hint="eastAsia" w:eastAsia="宋体" w:cs="Times New Roman"/>
          <w:color w:val="auto"/>
          <w:lang w:val="en-US" w:eastAsia="zh-CN"/>
        </w:rPr>
        <w:t>厂房变动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单梁车间不设置葫芦组装及外罩焊接区，设置两个涂装房；双梁车间设置2个双梁涂装房；新型葫芦装配车间租赁给长垣市玖伍电缆有限公司使用，不在本次项目验收范围之内；喷涂作业区不再建设，涂装工序共设置6个涂装房，分别位于单梁车间、双梁车间及双梁车间北侧，包括端梁涂装房、单梁涂装房、小件涂装房、预处理涂装房、双梁涂装房2个。</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2</w:t>
      </w:r>
      <w:r>
        <w:rPr>
          <w:rFonts w:hint="eastAsia" w:eastAsia="宋体" w:cs="Times New Roman"/>
          <w:color w:val="auto"/>
          <w:lang w:eastAsia="zh-CN"/>
        </w:rPr>
        <w:t>）</w:t>
      </w:r>
      <w:r>
        <w:rPr>
          <w:rFonts w:hint="eastAsia" w:eastAsia="宋体" w:cs="Times New Roman"/>
          <w:color w:val="auto"/>
          <w:lang w:val="en-US" w:eastAsia="zh-CN"/>
        </w:rPr>
        <w:t>产品方案</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本项目实际建设过程不再生产立体车库、电动葫芦及配件，故原辅材料用量相应减少。</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eastAsia="zh-CN"/>
        </w:rPr>
        <w:t>（</w:t>
      </w:r>
      <w:r>
        <w:rPr>
          <w:rFonts w:hint="eastAsia" w:eastAsia="宋体" w:cs="Times New Roman"/>
          <w:color w:val="auto"/>
          <w:lang w:val="en-US" w:eastAsia="zh-CN"/>
        </w:rPr>
        <w:t>3</w:t>
      </w:r>
      <w:r>
        <w:rPr>
          <w:rFonts w:hint="eastAsia" w:eastAsia="宋体" w:cs="Times New Roman"/>
          <w:color w:val="auto"/>
          <w:lang w:eastAsia="zh-CN"/>
        </w:rPr>
        <w:t>）</w:t>
      </w:r>
      <w:r>
        <w:rPr>
          <w:rFonts w:hint="eastAsia" w:eastAsia="宋体" w:cs="Times New Roman"/>
          <w:color w:val="auto"/>
          <w:lang w:val="en-US" w:eastAsia="zh-CN"/>
        </w:rPr>
        <w:t>设备变动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本项目实际建设过程中生产设备变动情况见表3-4，主要变动为机加工、起重设备增加或减少，不会影响本项目最终生产产能，故不属于重大变动。</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eastAsia="宋体" w:cs="Times New Roman"/>
          <w:color w:val="auto"/>
        </w:rPr>
      </w:pPr>
      <w:r>
        <w:rPr>
          <w:rFonts w:hint="eastAsia" w:eastAsia="宋体" w:cs="Times New Roman"/>
          <w:color w:val="auto"/>
        </w:rPr>
        <w:t>（</w:t>
      </w:r>
      <w:r>
        <w:rPr>
          <w:rFonts w:hint="eastAsia" w:eastAsia="宋体" w:cs="Times New Roman"/>
          <w:color w:val="auto"/>
          <w:lang w:val="en-US" w:eastAsia="zh-CN"/>
        </w:rPr>
        <w:t>4</w:t>
      </w:r>
      <w:r>
        <w:rPr>
          <w:rFonts w:hint="eastAsia" w:eastAsia="宋体" w:cs="Times New Roman"/>
          <w:color w:val="auto"/>
        </w:rPr>
        <w:t>）环保设施：</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抛丸工序：环评中设置4台抛丸机配备4台袋式除尘器，废气经处理后由1根15m高排气筒排放，实际建设过程设置1台抛丸机配备1台袋式除尘器，废气经处理后由1根15m高排气筒排放。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焊接工序：环评中单梁车间及双梁车间共设置3套滤筒除尘器，废气经处理后经15m高排气筒排放，实际建设过程单梁车间设置15套滤筒除尘器处理后由1根15m高排气筒排放，双梁车间设置8套滤筒除尘器处理后由1根15m高排气筒排放。</w:t>
      </w:r>
    </w:p>
    <w:p>
      <w:pPr>
        <w:pageBreakBefore w:val="0"/>
        <w:widowControl/>
        <w:kinsoku/>
        <w:wordWrap/>
        <w:overflowPunct/>
        <w:topLinePunct w:val="0"/>
        <w:autoSpaceDE/>
        <w:autoSpaceDN/>
        <w:bidi w:val="0"/>
        <w:adjustRightInd w:val="0"/>
        <w:snapToGrid w:val="0"/>
        <w:spacing w:line="52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切割工序：环评中双梁车间设置2套切割除尘系统（滤筒除尘器），废气经处理后由1根15m高排气筒排放，实际建设过程双梁车间设置5台滤筒除尘器，废气经处理后由5根15m高排气筒排放。</w:t>
      </w:r>
    </w:p>
    <w:p>
      <w:pPr>
        <w:keepNext w:val="0"/>
        <w:keepLines w:val="0"/>
        <w:pageBreakBefore w:val="0"/>
        <w:widowControl/>
        <w:kinsoku/>
        <w:wordWrap/>
        <w:overflowPunct/>
        <w:topLinePunct w:val="0"/>
        <w:autoSpaceDE/>
        <w:autoSpaceDN/>
        <w:bidi w:val="0"/>
        <w:adjustRightInd w:val="0"/>
        <w:snapToGrid w:val="0"/>
        <w:spacing w:line="480" w:lineRule="exact"/>
        <w:ind w:firstLine="480"/>
        <w:jc w:val="both"/>
        <w:textAlignment w:val="auto"/>
        <w:rPr>
          <w:rFonts w:hint="default" w:eastAsia="宋体" w:cs="Times New Roman"/>
          <w:color w:val="auto"/>
          <w:lang w:val="en-US" w:eastAsia="zh-CN"/>
        </w:rPr>
      </w:pPr>
      <w:r>
        <w:rPr>
          <w:rFonts w:hint="eastAsia" w:eastAsia="宋体" w:cs="Times New Roman"/>
          <w:color w:val="auto"/>
          <w:lang w:val="en-US" w:eastAsia="zh-CN"/>
        </w:rPr>
        <w:t>涂装工序：环评中1#、4#移动式喷漆房共用一套干式过滤+活性炭+催化燃烧+15m高排气筒排放；5#移动式喷漆房废气经过干式过滤+活性炭+催化燃烧+15m高排气筒排放；2#、3#、6#移动式喷漆、1#、2#、3#、4#晾干房、型材开卷校平抛丸喷漆生产线喷漆处理设备、板材开卷校平抛丸喷漆生产线喷漆处理设备、葫芦喷漆房、葫芦小车及小件喷漆房、外罩班组底漆喷漆房、厂区西南侧车间1#喷漆房、厂区西南侧车间2号喷漆房、电机生产线浸漆炉产生废气经过干式过滤+光氧催化+活性炭+15m高排气筒排放；15个未配套建设低温催化燃烧装置的喷漆房产生的废活性炭定期送往1#、4#和5#喷漆房废气处理系统进行再生处理；实际建设过程共设置6个涂装房，涂装废气分别经5套干式过滤棉+活性炭吸附+脱附催化燃烧装置处理后通过5根15m高排气筒排放。</w:t>
      </w:r>
    </w:p>
    <w:p>
      <w:pPr>
        <w:keepNext w:val="0"/>
        <w:keepLines w:val="0"/>
        <w:pageBreakBefore w:val="0"/>
        <w:widowControl/>
        <w:kinsoku/>
        <w:wordWrap/>
        <w:overflowPunct/>
        <w:topLinePunct w:val="0"/>
        <w:autoSpaceDE/>
        <w:autoSpaceDN/>
        <w:bidi w:val="0"/>
        <w:adjustRightInd w:val="0"/>
        <w:snapToGrid w:val="0"/>
        <w:spacing w:line="480" w:lineRule="exact"/>
        <w:ind w:firstLine="480"/>
        <w:jc w:val="both"/>
        <w:textAlignment w:val="auto"/>
        <w:rPr>
          <w:rFonts w:eastAsia="宋体" w:cs="Times New Roman"/>
          <w:color w:val="auto"/>
        </w:rPr>
      </w:pPr>
      <w:r>
        <w:rPr>
          <w:rFonts w:hint="eastAsia" w:eastAsia="宋体" w:cs="Times New Roman"/>
          <w:color w:val="auto"/>
        </w:rPr>
        <w:t>原环评中设计收集后经1套</w:t>
      </w:r>
      <w:r>
        <w:rPr>
          <w:rFonts w:hint="eastAsia" w:eastAsia="宋体" w:cs="Times New Roman"/>
          <w:color w:val="auto"/>
          <w:lang w:val="en-US" w:eastAsia="zh-CN"/>
        </w:rPr>
        <w:t>UV光催化氧化</w:t>
      </w:r>
      <w:r>
        <w:rPr>
          <w:rFonts w:hint="eastAsia" w:eastAsia="宋体" w:cs="Times New Roman"/>
          <w:color w:val="auto"/>
        </w:rPr>
        <w:t>+</w:t>
      </w:r>
      <w:r>
        <w:rPr>
          <w:rFonts w:hint="eastAsia" w:eastAsia="宋体" w:cs="Times New Roman"/>
          <w:color w:val="auto"/>
          <w:lang w:val="en-US" w:eastAsia="zh-CN"/>
        </w:rPr>
        <w:t>活性炭吸附装置处理后通过1根15m高排气筒排放</w:t>
      </w:r>
      <w:r>
        <w:rPr>
          <w:rFonts w:hint="eastAsia" w:eastAsia="宋体" w:cs="Times New Roman"/>
          <w:color w:val="auto"/>
          <w:lang w:eastAsia="zh-CN"/>
        </w:rPr>
        <w:t>；</w:t>
      </w:r>
      <w:r>
        <w:rPr>
          <w:rFonts w:hint="eastAsia" w:eastAsia="宋体" w:cs="Times New Roman"/>
          <w:color w:val="auto"/>
        </w:rPr>
        <w:t>实际建设</w:t>
      </w:r>
      <w:r>
        <w:rPr>
          <w:rFonts w:hint="eastAsia" w:eastAsia="宋体" w:cs="Times New Roman"/>
          <w:color w:val="auto"/>
          <w:lang w:val="en-US" w:eastAsia="zh-CN"/>
        </w:rPr>
        <w:t>时废气经收集后</w:t>
      </w:r>
      <w:r>
        <w:rPr>
          <w:rFonts w:hint="eastAsia" w:eastAsia="宋体" w:cs="Times New Roman"/>
          <w:color w:val="auto"/>
        </w:rPr>
        <w:t>经1套</w:t>
      </w:r>
      <w:r>
        <w:rPr>
          <w:rFonts w:hint="eastAsia" w:eastAsia="宋体" w:cs="Times New Roman"/>
          <w:color w:val="auto"/>
          <w:lang w:val="en-US" w:eastAsia="zh-CN"/>
        </w:rPr>
        <w:t>活性炭吸附+脱附催化燃烧装置处理后通过1根15m高排气筒排放，优于环评设计</w:t>
      </w:r>
      <w:r>
        <w:rPr>
          <w:rFonts w:hint="eastAsia" w:eastAsia="宋体" w:cs="Times New Roman"/>
          <w:color w:val="auto"/>
        </w:rPr>
        <w:t>；</w:t>
      </w:r>
    </w:p>
    <w:p>
      <w:pPr>
        <w:keepNext w:val="0"/>
        <w:keepLines w:val="0"/>
        <w:pageBreakBefore w:val="0"/>
        <w:kinsoku/>
        <w:wordWrap/>
        <w:overflowPunct/>
        <w:topLinePunct w:val="0"/>
        <w:autoSpaceDE/>
        <w:autoSpaceDN/>
        <w:bidi w:val="0"/>
        <w:spacing w:line="480" w:lineRule="exact"/>
        <w:textAlignment w:val="auto"/>
        <w:rPr>
          <w:rFonts w:hint="eastAsia"/>
          <w:color w:val="auto"/>
        </w:rPr>
      </w:pPr>
      <w:r>
        <w:rPr>
          <w:rFonts w:hint="eastAsia"/>
          <w:color w:val="auto"/>
          <w:lang w:val="en-US" w:eastAsia="zh-CN"/>
        </w:rPr>
        <w:t>根据以上变动可知， 本项目建设过程发生变动情况均优于环评，不涉及重大变动情况，</w:t>
      </w:r>
      <w:r>
        <w:rPr>
          <w:rFonts w:hint="eastAsia"/>
          <w:color w:val="auto"/>
        </w:rPr>
        <w:t>满足</w:t>
      </w:r>
      <w:r>
        <w:rPr>
          <w:color w:val="auto"/>
        </w:rPr>
        <w:t>《关于印发环评管理中部分行业建设项目重大变动清单的通知》（环境保护部办公厅文件，环办[2015]52号）</w:t>
      </w:r>
      <w:r>
        <w:rPr>
          <w:rFonts w:hint="eastAsia"/>
          <w:color w:val="auto"/>
        </w:rPr>
        <w:t>、</w:t>
      </w:r>
      <w:r>
        <w:rPr>
          <w:color w:val="auto"/>
        </w:rPr>
        <w:t>《环境影响评价法》</w:t>
      </w:r>
      <w:r>
        <w:rPr>
          <w:rFonts w:hint="eastAsia"/>
          <w:color w:val="auto"/>
        </w:rPr>
        <w:t>及</w:t>
      </w:r>
      <w:r>
        <w:rPr>
          <w:color w:val="auto"/>
        </w:rPr>
        <w:t>《建设项目环境保护管理条例》有关规定</w:t>
      </w:r>
      <w:r>
        <w:rPr>
          <w:rFonts w:hint="eastAsia"/>
          <w:color w:val="auto"/>
        </w:rPr>
        <w:t>，可</w:t>
      </w:r>
      <w:r>
        <w:rPr>
          <w:color w:val="auto"/>
        </w:rPr>
        <w:t>纳入竣工环境保护验收管理</w:t>
      </w:r>
      <w:r>
        <w:rPr>
          <w:rFonts w:hint="eastAsia"/>
          <w:color w:val="auto"/>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lang w:eastAsia="zh-CN"/>
        </w:rPr>
      </w:pPr>
      <w:r>
        <w:rPr>
          <w:rFonts w:hint="eastAsia"/>
          <w:color w:val="000000" w:themeColor="text1"/>
          <w:sz w:val="24"/>
          <w14:textFill>
            <w14:solidFill>
              <w14:schemeClr w14:val="tx1"/>
            </w14:solidFill>
          </w14:textFill>
        </w:rPr>
        <w:t>本项目用水主要为</w:t>
      </w:r>
      <w:r>
        <w:rPr>
          <w:rFonts w:hint="eastAsia"/>
          <w:color w:val="000000" w:themeColor="text1"/>
          <w:sz w:val="24"/>
          <w:lang w:val="en-US" w:eastAsia="zh-CN"/>
          <w14:textFill>
            <w14:solidFill>
              <w14:schemeClr w14:val="tx1"/>
            </w14:solidFill>
          </w14:textFill>
        </w:rPr>
        <w:t>生活</w:t>
      </w:r>
      <w:r>
        <w:rPr>
          <w:rFonts w:hint="eastAsia"/>
          <w:color w:val="000000" w:themeColor="text1"/>
          <w:sz w:val="24"/>
          <w14:textFill>
            <w14:solidFill>
              <w14:schemeClr w14:val="tx1"/>
            </w14:solidFill>
          </w14:textFill>
        </w:rPr>
        <w:t>用水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1200</w:t>
      </w:r>
      <w:r>
        <w:rPr>
          <w:rFonts w:hint="eastAsia"/>
          <w:color w:val="000000" w:themeColor="text1"/>
          <w:sz w:val="24"/>
          <w14:textFill>
            <w14:solidFill>
              <w14:schemeClr w14:val="tx1"/>
            </w14:solidFill>
          </w14:textFill>
        </w:rPr>
        <w:t>人，年生产天数300天，职工在厂区内食宿。</w:t>
      </w:r>
      <w:r>
        <w:rPr>
          <w:rFonts w:hint="eastAsia"/>
          <w:color w:val="000000" w:themeColor="text1"/>
          <w:sz w:val="24"/>
          <w:lang w:val="en-US" w:eastAsia="zh-CN"/>
          <w14:textFill>
            <w14:solidFill>
              <w14:schemeClr w14:val="tx1"/>
            </w14:solidFill>
          </w14:textFill>
        </w:rPr>
        <w:t>职工生活污水采用隔油池+化粪池处理后，排入长垣市第二污水处理厂进一步处理，生活污水排放量为</w:t>
      </w:r>
      <w:r>
        <w:rPr>
          <w:rFonts w:hint="eastAsia"/>
          <w:lang w:val="en-US" w:eastAsia="zh-CN"/>
        </w:rPr>
        <w:t>17.04</w:t>
      </w:r>
      <w:r>
        <w:rPr>
          <w:rFonts w:eastAsiaTheme="minorEastAsia"/>
        </w:rPr>
        <w:t>m</w:t>
      </w:r>
      <w:r>
        <w:rPr>
          <w:rFonts w:eastAsiaTheme="minorEastAsia"/>
          <w:vertAlign w:val="superscript"/>
        </w:rPr>
        <w:t>3</w:t>
      </w:r>
      <w:r>
        <w:rPr>
          <w:rFonts w:eastAsiaTheme="minorEastAsia"/>
        </w:rPr>
        <w:t>/d（</w:t>
      </w:r>
      <w:r>
        <w:rPr>
          <w:rFonts w:hint="eastAsia"/>
          <w:lang w:val="en-US" w:eastAsia="zh-CN"/>
        </w:rPr>
        <w:t>5112</w:t>
      </w:r>
      <w:r>
        <w:rPr>
          <w:rFonts w:eastAsiaTheme="minorEastAsia"/>
        </w:rPr>
        <w:t>m</w:t>
      </w:r>
      <w:r>
        <w:rPr>
          <w:rFonts w:eastAsiaTheme="minorEastAsia"/>
          <w:vertAlign w:val="superscript"/>
        </w:rPr>
        <w:t>3</w:t>
      </w:r>
      <w:r>
        <w:rPr>
          <w:rFonts w:eastAsiaTheme="minorEastAsia"/>
        </w:rPr>
        <w:t>/a）</w:t>
      </w:r>
      <w:r>
        <w:rPr>
          <w:rFonts w:hint="eastAsia"/>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kinsoku/>
        <w:wordWrap/>
        <w:overflowPunct/>
        <w:topLinePunct w:val="0"/>
        <w:autoSpaceDE/>
        <w:autoSpaceDN/>
        <w:bidi w:val="0"/>
        <w:spacing w:line="520" w:lineRule="exact"/>
        <w:ind w:firstLine="480"/>
        <w:jc w:val="left"/>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eastAsia="宋体" w:cs="Times New Roman"/>
          <w:color w:val="000000" w:themeColor="text1"/>
          <w:sz w:val="24"/>
          <w:szCs w:val="24"/>
          <w:lang w:val="en-US" w:eastAsia="zh-CN"/>
          <w14:textFill>
            <w14:solidFill>
              <w14:schemeClr w14:val="tx1"/>
            </w14:solidFill>
          </w14:textFill>
        </w:rPr>
        <w:t>涂装废气经干式过滤棉+活性炭吸附+脱附催化燃烧装置处理后，分别通过5根15m高排气筒排放；单梁车间焊接废气经滤筒除尘器处理后通过1根15m高排气筒排放；双梁车间下料废气经滤筒除尘器处理后通过5根15m高排气筒排放；双梁车间焊接废气经滤筒滤筒除尘器处理后通过1根15m高排气筒排放；食堂油烟经油烟净化器处理后高于屋顶排放。</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本项目的噪声设备主要有</w:t>
      </w:r>
      <w:r>
        <w:rPr>
          <w:color w:val="auto"/>
        </w:rPr>
        <w:t>切割机、剪板机、折弯机、抛丸机</w:t>
      </w:r>
      <w:r>
        <w:rPr>
          <w:rFonts w:hint="default" w:ascii="Times New Roman" w:hAnsi="Times New Roman" w:eastAsia="宋体" w:cs="Times New Roman"/>
          <w:color w:val="auto"/>
          <w:sz w:val="24"/>
          <w:szCs w:val="24"/>
        </w:rPr>
        <w:t>等，通过采用厂房密闭隔音、基础减震、距离衰减等降噪措施</w:t>
      </w:r>
      <w:r>
        <w:rPr>
          <w:rFonts w:hint="default" w:ascii="Times New Roman" w:hAnsi="Times New Roman" w:eastAsia="宋体" w:cs="Times New Roman"/>
          <w:b w:val="0"/>
          <w:bCs w:val="0"/>
          <w:color w:val="auto"/>
          <w:kern w:val="2"/>
          <w:sz w:val="24"/>
          <w:szCs w:val="24"/>
          <w:lang w:val="en-US" w:eastAsia="zh-CN" w:bidi="ar-SA"/>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kinsoku/>
        <w:wordWrap/>
        <w:overflowPunct/>
        <w:topLinePunct w:val="0"/>
        <w:autoSpaceDE/>
        <w:autoSpaceDN/>
        <w:bidi w:val="0"/>
        <w:adjustRightInd w:val="0"/>
        <w:snapToGrid w:val="0"/>
        <w:spacing w:line="520" w:lineRule="exact"/>
        <w:ind w:firstLine="480"/>
        <w:textAlignment w:val="auto"/>
        <w:rPr>
          <w:rFonts w:hint="default" w:cs="Times New Roman" w:eastAsiaTheme="minorEastAsia"/>
          <w:lang w:val="en-US" w:eastAsia="zh-CN"/>
        </w:rPr>
      </w:pPr>
      <w:r>
        <w:rPr>
          <w:color w:val="000000" w:themeColor="text1"/>
          <w:sz w:val="24"/>
          <w14:textFill>
            <w14:solidFill>
              <w14:schemeClr w14:val="tx1"/>
            </w14:solidFill>
          </w14:textFill>
        </w:rPr>
        <w:t>本项目产生的</w:t>
      </w:r>
      <w:r>
        <w:rPr>
          <w:rFonts w:hint="eastAsia"/>
          <w:color w:val="000000" w:themeColor="text1"/>
          <w:sz w:val="24"/>
          <w14:textFill>
            <w14:solidFill>
              <w14:schemeClr w14:val="tx1"/>
            </w14:solidFill>
          </w14:textFill>
        </w:rPr>
        <w:t>一般</w:t>
      </w:r>
      <w:r>
        <w:rPr>
          <w:color w:val="000000" w:themeColor="text1"/>
          <w:sz w:val="24"/>
          <w14:textFill>
            <w14:solidFill>
              <w14:schemeClr w14:val="tx1"/>
            </w14:solidFill>
          </w14:textFill>
        </w:rPr>
        <w:t>固废主要有</w:t>
      </w:r>
      <w:r>
        <w:rPr>
          <w:rFonts w:hint="eastAsia"/>
          <w:color w:val="000000" w:themeColor="text1"/>
          <w:sz w:val="24"/>
          <w:lang w:val="en-US" w:eastAsia="zh-CN"/>
          <w14:textFill>
            <w14:solidFill>
              <w14:schemeClr w14:val="tx1"/>
            </w14:solidFill>
          </w14:textFill>
        </w:rPr>
        <w:t>机加工产生的废金属下脚料，清洗机器产生的废抹布废手套（属于豁免清单中危险，随一般固废处理），废气处理产生的除尘渣，焊接工序产生的废焊条和焊渣，抛丸工序产生的废钢丸，原料使用过程产生的废包装材料，属于一般固废，暂存于一般固废暂存间，回收综合利用。危险废物为机加工产生的废切削液、废机油，喷漆过程产生的废料桶，废气治理过程产生的漆渣和废活性炭</w:t>
      </w:r>
      <w:r>
        <w:rPr>
          <w:rFonts w:hint="eastAsia"/>
          <w:color w:val="000000" w:themeColor="text1"/>
          <w:sz w:val="24"/>
          <w14:textFill>
            <w14:solidFill>
              <w14:schemeClr w14:val="tx1"/>
            </w14:solidFill>
          </w14:textFill>
        </w:rPr>
        <w:t>，暂存于危险废物暂存间，定期交由有资质单位处置</w:t>
      </w:r>
      <w:r>
        <w:rPr>
          <w:rFonts w:hint="eastAsia" w:cs="Times New Roman"/>
        </w:rPr>
        <w:t>。</w:t>
      </w:r>
      <w:r>
        <w:rPr>
          <w:rFonts w:hint="eastAsia" w:cs="Times New Roman"/>
          <w:lang w:val="en-US" w:eastAsia="zh-CN"/>
        </w:rPr>
        <w:t>生活垃圾定期由环卫部门清运。</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2"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（一）污染物达标排放情况</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根据《纽科伦（新乡）起重机有限公司年产2万台起重机、100台立体车库、</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left="0" w:leftChars="0" w:right="0" w:rightChars="0" w:firstLine="0" w:firstLineChars="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3万台电动葫芦及配件项目竣工环境保护验收监测报告》，监测期间，纽科伦（新乡）起重机有限公司年产2万台起重机、100台立体车库、3万台电动葫芦及配件项目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工况稳定，生产工况符合检测要求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。监测结果表明：</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cs="Times New Roman"/>
          <w:bCs/>
          <w:color w:val="auto"/>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hint="eastAsia" w:cs="Times New Roman"/>
          <w:color w:val="000000" w:themeColor="text1"/>
          <w:vertAlign w:val="baseline"/>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hint="eastAsia" w:ascii="Times New Roman" w:hAnsi="Times New Roman" w:cs="Times New Roman"/>
          <w:color w:val="000000" w:themeColor="text1"/>
          <w14:textFill>
            <w14:solidFill>
              <w14:schemeClr w14:val="tx1"/>
            </w14:solidFill>
          </w14:textFill>
        </w:rPr>
        <w:t>监</w:t>
      </w:r>
      <w:r>
        <w:rPr>
          <w:rFonts w:ascii="Times New Roman" w:hAnsi="Times New Roman" w:cs="Times New Roman"/>
          <w:color w:val="000000" w:themeColor="text1"/>
          <w14:textFill>
            <w14:solidFill>
              <w14:schemeClr w14:val="tx1"/>
            </w14:solidFill>
          </w14:textFill>
        </w:rPr>
        <w:t>测结果可知，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甲苯、二甲苯排放浓度</w:t>
      </w:r>
    </w:p>
    <w:p>
      <w:pPr>
        <w:keepNext w:val="0"/>
        <w:keepLines w:val="0"/>
        <w:pageBreakBefore w:val="0"/>
        <w:kinsoku/>
        <w:overflowPunct/>
        <w:topLinePunct w:val="0"/>
        <w:autoSpaceDE/>
        <w:autoSpaceDN/>
        <w:bidi w:val="0"/>
        <w:adjustRightInd/>
        <w:spacing w:line="480" w:lineRule="exact"/>
        <w:ind w:firstLine="480"/>
        <w:textAlignment w:val="auto"/>
        <w:rPr>
          <w:rFonts w:cs="Times New Roman"/>
          <w:color w:val="000000" w:themeColor="text1"/>
          <w14:textFill>
            <w14:solidFill>
              <w14:schemeClr w14:val="tx1"/>
            </w14:solidFill>
          </w14:textFill>
        </w:rPr>
      </w:pPr>
      <w:r>
        <w:rPr>
          <w:rFonts w:hint="eastAsia"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食堂油烟排放浓度在0.33-0.37</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r>
        <w:rPr>
          <w:rFonts w:hint="eastAsia" w:cs="Times New Roman"/>
          <w:color w:val="000000" w:themeColor="text1"/>
          <w14:textFill>
            <w14:solidFill>
              <w14:schemeClr w14:val="tx1"/>
            </w14:solidFill>
          </w14:textFill>
        </w:rPr>
        <w:t>本项目无组织废气中，颗粒物浓度最大值为</w:t>
      </w:r>
      <w:r>
        <w:rPr>
          <w:rFonts w:hint="eastAsia" w:cs="Times New Roman"/>
          <w:color w:val="000000" w:themeColor="text1"/>
          <w:lang w:val="en-US" w:eastAsia="zh-CN"/>
          <w14:textFill>
            <w14:solidFill>
              <w14:schemeClr w14:val="tx1"/>
            </w14:solidFill>
          </w14:textFill>
        </w:rPr>
        <w:t>0.361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eastAsia" w:cs="Times New Roman"/>
          <w:color w:val="000000" w:themeColor="text1"/>
          <w14:textFill>
            <w14:solidFill>
              <w14:schemeClr w14:val="tx1"/>
            </w14:solidFill>
          </w14:textFill>
        </w:rPr>
        <w:t>最大浓度为</w:t>
      </w:r>
      <w:r>
        <w:rPr>
          <w:rFonts w:hint="eastAsia" w:cs="Times New Roman"/>
          <w:color w:val="000000" w:themeColor="text1"/>
          <w:lang w:val="en-US" w:eastAsia="zh-CN"/>
          <w14:textFill>
            <w14:solidFill>
              <w14:schemeClr w14:val="tx1"/>
            </w14:solidFill>
          </w14:textFill>
        </w:rPr>
        <w:t>1.11</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苯未检出，甲苯最大浓度为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二甲苯最大浓度为</w:t>
      </w:r>
      <w:r>
        <w:rPr>
          <w:rFonts w:hint="eastAsia"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cs="Times New Roman"/>
          <w:i w:val="0"/>
          <w:color w:val="auto"/>
          <w:kern w:val="0"/>
          <w:sz w:val="21"/>
          <w:szCs w:val="21"/>
          <w:u w:val="none"/>
          <w:lang w:val="en-US" w:eastAsia="zh-CN" w:bidi="ar"/>
        </w:rPr>
        <w:t>10</w:t>
      </w:r>
      <w:r>
        <w:rPr>
          <w:rFonts w:hint="eastAsia" w:ascii="Times New Roman" w:hAnsi="Times New Roman" w:cs="Times New Roman"/>
          <w:i w:val="0"/>
          <w:color w:val="auto"/>
          <w:kern w:val="0"/>
          <w:sz w:val="21"/>
          <w:szCs w:val="21"/>
          <w:u w:val="none"/>
          <w:vertAlign w:val="superscript"/>
          <w:lang w:val="en-US" w:eastAsia="zh-CN" w:bidi="ar"/>
        </w:rPr>
        <w:t>-2</w:t>
      </w:r>
      <w:r>
        <w:rPr>
          <w:rFonts w:hint="eastAsia" w:cs="Times New Roman"/>
          <w:color w:val="000000" w:themeColor="text1"/>
          <w14:textFill>
            <w14:solidFill>
              <w14:schemeClr w14:val="tx1"/>
            </w14:solidFill>
          </w14:textFill>
        </w:rPr>
        <w:t>mg/m</w:t>
      </w:r>
      <w:r>
        <w:rPr>
          <w:rFonts w:hint="eastAsia" w:cs="Times New Roman"/>
          <w:color w:val="000000" w:themeColor="text1"/>
          <w:vertAlign w:val="superscript"/>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cs="Times New Roman"/>
          <w:color w:val="000000" w:themeColor="text1"/>
          <w14:textFill>
            <w14:solidFill>
              <w14:schemeClr w14:val="tx1"/>
            </w14:solidFill>
          </w14:textFill>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keepNext w:val="0"/>
        <w:keepLines w:val="0"/>
        <w:pageBreakBefore w:val="0"/>
        <w:kinsoku/>
        <w:overflowPunct/>
        <w:topLinePunct w:val="0"/>
        <w:autoSpaceDE/>
        <w:autoSpaceDN/>
        <w:bidi w:val="0"/>
        <w:adjustRightInd w:val="0"/>
        <w:snapToGrid w:val="0"/>
        <w:spacing w:line="520" w:lineRule="exact"/>
        <w:ind w:firstLine="480"/>
        <w:textAlignment w:val="auto"/>
        <w:rPr>
          <w:rFonts w:hint="default" w:cs="Times New Roman" w:eastAsiaTheme="minorEastAsia"/>
          <w:lang w:val="en-US" w:eastAsia="zh-CN"/>
        </w:rPr>
      </w:pPr>
      <w:r>
        <w:rPr>
          <w:color w:val="000000" w:themeColor="text1"/>
          <w:sz w:val="24"/>
          <w14:textFill>
            <w14:solidFill>
              <w14:schemeClr w14:val="tx1"/>
            </w14:solidFill>
          </w14:textFill>
        </w:rPr>
        <w:t>本项目产生的</w:t>
      </w:r>
      <w:r>
        <w:rPr>
          <w:rFonts w:hint="eastAsia"/>
          <w:color w:val="000000" w:themeColor="text1"/>
          <w:sz w:val="24"/>
          <w14:textFill>
            <w14:solidFill>
              <w14:schemeClr w14:val="tx1"/>
            </w14:solidFill>
          </w14:textFill>
        </w:rPr>
        <w:t>一般</w:t>
      </w:r>
      <w:r>
        <w:rPr>
          <w:color w:val="000000" w:themeColor="text1"/>
          <w:sz w:val="24"/>
          <w14:textFill>
            <w14:solidFill>
              <w14:schemeClr w14:val="tx1"/>
            </w14:solidFill>
          </w14:textFill>
        </w:rPr>
        <w:t>固废主要有</w:t>
      </w:r>
      <w:r>
        <w:rPr>
          <w:rFonts w:hint="eastAsia"/>
          <w:color w:val="000000" w:themeColor="text1"/>
          <w:sz w:val="24"/>
          <w:lang w:val="en-US" w:eastAsia="zh-CN"/>
          <w14:textFill>
            <w14:solidFill>
              <w14:schemeClr w14:val="tx1"/>
            </w14:solidFill>
          </w14:textFill>
        </w:rPr>
        <w:t>机加工产生的废金属下脚料，清洗机器产生的废抹布废手套（属于豁免清单中危险，随一般固废处理），废气处理产生的除尘渣，焊接工序产生的废焊条和焊渣，抛丸工序产生的废钢丸，原料使用过程产生的废包装材料，属于一般固废，暂存于一般固废暂存间，回收综合利用。危险废物为机加工产生的废切削液、废机油，喷漆过程产生的废料桶，废气治理过程产生的漆渣和废活性炭</w:t>
      </w:r>
      <w:r>
        <w:rPr>
          <w:rFonts w:hint="eastAsia"/>
          <w:color w:val="000000" w:themeColor="text1"/>
          <w:sz w:val="24"/>
          <w14:textFill>
            <w14:solidFill>
              <w14:schemeClr w14:val="tx1"/>
            </w14:solidFill>
          </w14:textFill>
        </w:rPr>
        <w:t>，暂存于危险废物暂存间，定期交由有资质单位处置</w:t>
      </w:r>
      <w:r>
        <w:rPr>
          <w:rFonts w:hint="eastAsia" w:cs="Times New Roman"/>
        </w:rPr>
        <w:t>。</w:t>
      </w:r>
      <w:r>
        <w:rPr>
          <w:rFonts w:hint="eastAsia" w:cs="Times New Roman"/>
          <w:lang w:val="en-US" w:eastAsia="zh-CN"/>
        </w:rPr>
        <w:t>生活垃圾定期由环卫部门清运。</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240" w:firstLineChars="1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（二）环保设施去除效率</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cs="Times New Roman"/>
          <w:bCs/>
          <w:color w:val="auto"/>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pH7.4-7.7、悬浮物34-38</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48.6</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54.7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137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164</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3.32</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3.46</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、总氮4.75-4.83</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、TP为1.03-1.14</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w:t>
      </w:r>
      <w:r>
        <w:rPr>
          <w:rFonts w:cs="Times New Roman"/>
          <w:bCs/>
          <w:color w:val="auto"/>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kinsoku/>
        <w:wordWrap w:val="0"/>
        <w:overflowPunct/>
        <w:topLinePunct w:val="0"/>
        <w:autoSpaceDE/>
        <w:autoSpaceDN/>
        <w:bidi w:val="0"/>
        <w:adjustRightInd/>
        <w:snapToGrid/>
        <w:spacing w:line="480" w:lineRule="exact"/>
        <w:ind w:firstLine="480"/>
        <w:textAlignment w:val="auto"/>
        <w:rPr>
          <w:rFonts w:hint="default"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w:t>
      </w:r>
      <w:r>
        <w:rPr>
          <w:rFonts w:hint="eastAsia" w:ascii="Times New Roman" w:hAnsi="Times New Roman" w:cs="Times New Roman"/>
          <w:color w:val="000000" w:themeColor="text1"/>
          <w14:textFill>
            <w14:solidFill>
              <w14:schemeClr w14:val="tx1"/>
            </w14:solidFill>
          </w14:textFill>
        </w:rPr>
        <w:t>监</w:t>
      </w:r>
      <w:r>
        <w:rPr>
          <w:rFonts w:ascii="Times New Roman" w:hAnsi="Times New Roman" w:cs="Times New Roman"/>
          <w:color w:val="000000" w:themeColor="text1"/>
          <w14:textFill>
            <w14:solidFill>
              <w14:schemeClr w14:val="tx1"/>
            </w14:solidFill>
          </w14:textFill>
        </w:rPr>
        <w:t>测结果可知，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DA002、DA004、DA007-DA013排气筒有组织废气颗粒物经处理后浓度在0.158-7.9</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3.08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8</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-0.427kg/h之间，满足《大气污染物综合排放标准》（GB16297-1996）表2标准，同时满足新乡市生态环境局《关于进一步规范工业企业颗粒物排放限值的通知》要求；DA001、DA002、DA003、DA004、DA005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甲苯、二甲苯排放</w:t>
      </w:r>
      <w:r>
        <w:rPr>
          <w:rFonts w:hint="default" w:ascii="Times New Roman" w:hAnsi="Times New Roman" w:cs="Times New Roman"/>
          <w:i w:val="0"/>
          <w:color w:val="000000" w:themeColor="text1"/>
          <w:kern w:val="0"/>
          <w:sz w:val="24"/>
          <w:szCs w:val="24"/>
          <w:u w:val="none"/>
          <w:vertAlign w:val="baseline"/>
          <w:lang w:val="en-US" w:eastAsia="zh-CN" w:bidi="ar"/>
          <w14:textFill>
            <w14:solidFill>
              <w14:schemeClr w14:val="tx1"/>
            </w14:solidFill>
          </w14:textFill>
        </w:rPr>
        <w:t>浓度</w:t>
      </w:r>
      <w:r>
        <w:rPr>
          <w:rFonts w:hint="default" w:ascii="Times New Roman" w:hAnsi="Times New Roman" w:cs="Times New Roman"/>
          <w:color w:val="000000" w:themeColor="text1"/>
          <w:vertAlign w:val="baseline"/>
          <w:lang w:val="en-US" w:eastAsia="zh-CN"/>
          <w14:textFill>
            <w14:solidFill>
              <w14:schemeClr w14:val="tx1"/>
            </w14:solidFill>
          </w14:textFill>
        </w:rPr>
        <w:t>满足《关于全省开展工业企业挥发性有机物专项治理工作中排放建议值的通知》豫环攻坚办[2017]162 号）标准，《大气污染物综合排放标准》（GB16297-1996）表2标准</w:t>
      </w:r>
      <w:r>
        <w:rPr>
          <w:rFonts w:hint="default" w:ascii="Times New Roman" w:hAnsi="Times New Roman" w:cs="Times New Roman"/>
          <w:bCs/>
          <w:lang w:val="en-US" w:eastAsia="zh-CN"/>
        </w:rPr>
        <w:t>及</w:t>
      </w:r>
      <w:r>
        <w:rPr>
          <w:rFonts w:hint="default" w:ascii="Times New Roman" w:hAnsi="Times New Roman" w:cs="Times New Roman"/>
          <w:bCs/>
        </w:rPr>
        <w:t>《工业涂装工序挥发性有机物排放标准》（DB41/1951-2020）表1标准要求</w:t>
      </w:r>
      <w:r>
        <w:rPr>
          <w:rFonts w:hint="default" w:ascii="Times New Roman" w:hAnsi="Times New Roman" w:cs="Times New Roman"/>
          <w:bCs/>
          <w:lang w:eastAsia="zh-CN"/>
        </w:rPr>
        <w:t>；</w:t>
      </w:r>
      <w:r>
        <w:rPr>
          <w:rFonts w:hint="default" w:ascii="Times New Roman" w:hAnsi="Times New Roman" w:cs="Times New Roman"/>
          <w:bCs/>
          <w:lang w:val="en-US" w:eastAsia="zh-CN"/>
        </w:rPr>
        <w:t>食堂油烟排放浓度在0.33-0.37</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vertAlign w:val="baseline"/>
          <w:lang w:val="en-US" w:eastAsia="zh-CN"/>
          <w14:textFill>
            <w14:solidFill>
              <w14:schemeClr w14:val="tx1"/>
            </w14:solidFill>
          </w14:textFill>
        </w:rPr>
        <w:t>之间，满足</w:t>
      </w:r>
      <w:r>
        <w:rPr>
          <w:rFonts w:hint="default" w:ascii="Times New Roman" w:hAnsi="Times New Roman" w:cs="Times New Roman"/>
        </w:rPr>
        <w:t>《餐饮业油烟污染物排放标准》（DB41/1604-2018）表1标准要求</w:t>
      </w:r>
      <w:r>
        <w:rPr>
          <w:rFonts w:hint="default" w:ascii="Times New Roman" w:hAnsi="Times New Roman" w:cs="Times New Roman"/>
          <w:lang w:eastAsia="zh-CN"/>
        </w:rPr>
        <w:t>。</w:t>
      </w:r>
      <w:r>
        <w:rPr>
          <w:rFonts w:hint="default" w:ascii="Times New Roman" w:hAnsi="Times New Roman" w:cs="Times New Roman"/>
          <w:color w:val="000000" w:themeColor="text1"/>
          <w14:textFill>
            <w14:solidFill>
              <w14:schemeClr w14:val="tx1"/>
            </w14:solidFill>
          </w14:textFill>
        </w:rPr>
        <w:t>本项目无组织废气中，颗粒物浓度最大值为</w:t>
      </w:r>
      <w:r>
        <w:rPr>
          <w:rFonts w:hint="default" w:ascii="Times New Roman" w:hAnsi="Times New Roman" w:cs="Times New Roman"/>
          <w:color w:val="000000" w:themeColor="text1"/>
          <w:lang w:val="en-US" w:eastAsia="zh-CN"/>
          <w14:textFill>
            <w14:solidFill>
              <w14:schemeClr w14:val="tx1"/>
            </w14:solidFill>
          </w14:textFill>
        </w:rPr>
        <w:t>0.361</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满足新乡市生态环境局《关于进一步规范工业企业颗粒物排放限值的通知》要求，非甲烷总烃</w:t>
      </w:r>
      <w:r>
        <w:rPr>
          <w:rFonts w:hint="default" w:ascii="Times New Roman" w:hAnsi="Times New Roman" w:cs="Times New Roman"/>
          <w:color w:val="000000" w:themeColor="text1"/>
          <w14:textFill>
            <w14:solidFill>
              <w14:schemeClr w14:val="tx1"/>
            </w14:solidFill>
          </w14:textFill>
        </w:rPr>
        <w:t>最大浓度为</w:t>
      </w:r>
      <w:r>
        <w:rPr>
          <w:rFonts w:hint="default" w:ascii="Times New Roman" w:hAnsi="Times New Roman" w:cs="Times New Roman"/>
          <w:color w:val="000000" w:themeColor="text1"/>
          <w:lang w:val="en-US" w:eastAsia="zh-CN"/>
          <w14:textFill>
            <w14:solidFill>
              <w14:schemeClr w14:val="tx1"/>
            </w14:solidFill>
          </w14:textFill>
        </w:rPr>
        <w:t>1.11</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苯未检出，甲苯最大浓度为</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2.15</w:t>
      </w:r>
      <w:r>
        <w:rPr>
          <w:rFonts w:hint="default"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10</w:t>
      </w:r>
      <w:r>
        <w:rPr>
          <w:rFonts w:hint="default" w:ascii="Times New Roman" w:hAnsi="Times New Roman" w:cs="Times New Roman"/>
          <w:i w:val="0"/>
          <w:color w:val="auto"/>
          <w:kern w:val="0"/>
          <w:sz w:val="21"/>
          <w:szCs w:val="21"/>
          <w:u w:val="none"/>
          <w:vertAlign w:val="superscript"/>
          <w:lang w:val="en-US" w:eastAsia="zh-CN" w:bidi="ar"/>
        </w:rPr>
        <w:t>-2</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二甲苯最大浓度为</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6.20</w:t>
      </w:r>
      <w:r>
        <w:rPr>
          <w:rFonts w:hint="default"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i w:val="0"/>
          <w:color w:val="auto"/>
          <w:kern w:val="0"/>
          <w:sz w:val="21"/>
          <w:szCs w:val="21"/>
          <w:u w:val="none"/>
          <w:lang w:val="en-US" w:eastAsia="zh-CN" w:bidi="ar"/>
        </w:rPr>
        <w:t>10</w:t>
      </w:r>
      <w:r>
        <w:rPr>
          <w:rFonts w:hint="default" w:ascii="Times New Roman" w:hAnsi="Times New Roman" w:cs="Times New Roman"/>
          <w:i w:val="0"/>
          <w:color w:val="auto"/>
          <w:kern w:val="0"/>
          <w:sz w:val="21"/>
          <w:szCs w:val="21"/>
          <w:u w:val="none"/>
          <w:vertAlign w:val="superscript"/>
          <w:lang w:val="en-US" w:eastAsia="zh-CN" w:bidi="ar"/>
        </w:rPr>
        <w:t>-2</w:t>
      </w:r>
      <w:r>
        <w:rPr>
          <w:rFonts w:hint="default" w:ascii="Times New Roman" w:hAnsi="Times New Roman" w:cs="Times New Roman"/>
          <w:color w:val="000000" w:themeColor="text1"/>
          <w14:textFill>
            <w14:solidFill>
              <w14:schemeClr w14:val="tx1"/>
            </w14:solidFill>
          </w14:textFill>
        </w:rPr>
        <w:t>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，满足《关于全省开展工业企业挥发性有机物专项治理工作中排放建议值的通知》豫环攻坚办[2017]162 号）</w:t>
      </w:r>
      <w:r>
        <w:rPr>
          <w:rFonts w:hint="default" w:ascii="Times New Roman" w:hAnsi="Times New Roman" w:cs="Times New Roman"/>
          <w:color w:val="000000" w:themeColor="text1"/>
          <w14:textFill>
            <w14:solidFill>
              <w14:schemeClr w14:val="tx1"/>
            </w14:solidFill>
          </w14:textFill>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snapToGrid w:val="0"/>
        <w:spacing w:line="52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53-57</w:t>
      </w:r>
      <w:r>
        <w:rPr>
          <w:rFonts w:hint="eastAsia" w:cs="Times New Roman"/>
          <w:bCs/>
          <w:color w:val="000000" w:themeColor="text1"/>
          <w14:textFill>
            <w14:solidFill>
              <w14:schemeClr w14:val="tx1"/>
            </w14:solidFill>
          </w14:textFill>
        </w:rPr>
        <w:t>dB(A)之间，</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2</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）废水</w:t>
      </w:r>
    </w:p>
    <w:p>
      <w:pPr>
        <w:ind w:firstLine="480"/>
        <w:jc w:val="both"/>
        <w:rPr>
          <w:rFonts w:cs="Times New Roman"/>
          <w:bCs/>
          <w:color w:val="0000FF"/>
        </w:rPr>
      </w:pPr>
      <w:r>
        <w:rPr>
          <w:rFonts w:hint="default" w:ascii="Times New Roman" w:hAnsi="Times New Roman" w:cs="Times New Roman" w:eastAsiaTheme="minorEastAsia"/>
          <w:color w:val="auto"/>
          <w:sz w:val="24"/>
          <w:szCs w:val="24"/>
          <w:lang w:val="en-US" w:eastAsia="zh-CN"/>
        </w:rPr>
        <w:t>根据检测结果，本项目污水经</w:t>
      </w:r>
      <w:r>
        <w:rPr>
          <w:rFonts w:hint="eastAsia" w:ascii="Times New Roman" w:hAnsi="Times New Roman" w:cs="Times New Roman"/>
          <w:color w:val="auto"/>
          <w:sz w:val="24"/>
          <w:szCs w:val="24"/>
          <w:lang w:val="en-US" w:eastAsia="zh-CN"/>
        </w:rPr>
        <w:t>化粪池</w:t>
      </w:r>
      <w:r>
        <w:rPr>
          <w:rFonts w:hint="default" w:ascii="Times New Roman" w:hAnsi="Times New Roman" w:cs="Times New Roman" w:eastAsiaTheme="minorEastAsia"/>
          <w:color w:val="auto"/>
          <w:sz w:val="24"/>
          <w:szCs w:val="24"/>
          <w:lang w:val="en-US" w:eastAsia="zh-CN"/>
        </w:rPr>
        <w:t>处理后</w:t>
      </w:r>
      <w:r>
        <w:rPr>
          <w:rFonts w:hint="eastAsia" w:cs="Times New Roman"/>
          <w:color w:val="auto"/>
          <w:sz w:val="24"/>
          <w:szCs w:val="24"/>
          <w:lang w:val="en-US" w:eastAsia="zh-CN"/>
        </w:rPr>
        <w:t>pH6.9-7.5、悬浮物88-97</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eastAsiaTheme="minorEastAsia"/>
          <w:color w:val="auto"/>
          <w:sz w:val="24"/>
          <w:szCs w:val="24"/>
          <w:lang w:val="en-US" w:eastAsia="zh-CN"/>
        </w:rPr>
        <w:t>为</w:t>
      </w:r>
      <w:r>
        <w:rPr>
          <w:rFonts w:hint="eastAsia" w:cs="Times New Roman"/>
          <w:color w:val="auto"/>
          <w:sz w:val="24"/>
          <w:szCs w:val="24"/>
          <w:lang w:val="en-US" w:eastAsia="zh-CN"/>
        </w:rPr>
        <w:t>38.5</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44.9</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COD为</w:t>
      </w:r>
      <w:r>
        <w:rPr>
          <w:rFonts w:hint="eastAsia" w:cs="Times New Roman"/>
          <w:color w:val="auto"/>
          <w:sz w:val="24"/>
          <w:szCs w:val="24"/>
          <w:lang w:val="en-US" w:eastAsia="zh-CN"/>
        </w:rPr>
        <w:t>108</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126</w:t>
      </w:r>
      <w:r>
        <w:rPr>
          <w:rFonts w:hint="default" w:ascii="Times New Roman" w:hAnsi="Times New Roman" w:cs="Times New Roman" w:eastAsiaTheme="minorEastAsia"/>
          <w:color w:val="auto"/>
          <w:sz w:val="24"/>
          <w:szCs w:val="24"/>
          <w:lang w:val="en-US" w:eastAsia="zh-CN"/>
        </w:rPr>
        <w:t>mg/L、氨氮为</w:t>
      </w:r>
      <w:r>
        <w:rPr>
          <w:rFonts w:hint="eastAsia" w:cs="Times New Roman"/>
          <w:color w:val="auto"/>
          <w:sz w:val="24"/>
          <w:szCs w:val="24"/>
          <w:lang w:val="en-US" w:eastAsia="zh-CN"/>
        </w:rPr>
        <w:t>6.83</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7.51</w:t>
      </w:r>
      <w:r>
        <w:rPr>
          <w:rFonts w:hint="default" w:ascii="Times New Roman" w:hAnsi="Times New Roman" w:cs="Times New Roman" w:eastAsiaTheme="minorEastAsia"/>
          <w:color w:val="auto"/>
          <w:sz w:val="24"/>
          <w:szCs w:val="24"/>
          <w:lang w:val="en-US" w:eastAsia="zh-CN"/>
        </w:rPr>
        <w:t>mg/L</w:t>
      </w:r>
      <w:r>
        <w:rPr>
          <w:rFonts w:hint="eastAsia" w:cs="Times New Roman"/>
          <w:color w:val="auto"/>
          <w:sz w:val="24"/>
          <w:szCs w:val="24"/>
          <w:lang w:val="en-US" w:eastAsia="zh-CN"/>
        </w:rPr>
        <w:t>、总氮10.9-13.2</w:t>
      </w:r>
      <w:r>
        <w:rPr>
          <w:rFonts w:hint="default" w:ascii="Times New Roman" w:hAnsi="Times New Roman" w:cs="Times New Roman" w:eastAsiaTheme="minorEastAsia"/>
          <w:color w:val="auto"/>
          <w:sz w:val="24"/>
          <w:szCs w:val="24"/>
          <w:lang w:val="en-US" w:eastAsia="zh-CN"/>
        </w:rPr>
        <w:t>mg/L。均满足《污水综合排放标准》（GB8978-1996）表4三级标准和</w:t>
      </w:r>
      <w:r>
        <w:rPr>
          <w:rFonts w:hint="eastAsia" w:cs="Times New Roman"/>
          <w:color w:val="auto"/>
          <w:sz w:val="24"/>
          <w:szCs w:val="24"/>
          <w:lang w:val="en-US" w:eastAsia="zh-CN"/>
        </w:rPr>
        <w:t>长垣市第二污水处理厂</w:t>
      </w:r>
      <w:r>
        <w:rPr>
          <w:rFonts w:hint="default" w:ascii="Times New Roman" w:hAnsi="Times New Roman" w:cs="Times New Roman" w:eastAsiaTheme="minorEastAsia"/>
          <w:color w:val="auto"/>
          <w:sz w:val="24"/>
          <w:szCs w:val="24"/>
          <w:lang w:val="en-US" w:eastAsia="zh-CN"/>
        </w:rPr>
        <w:t>收水标准。达标后排入</w:t>
      </w:r>
      <w:r>
        <w:rPr>
          <w:rFonts w:hint="eastAsia" w:cs="Times New Roman"/>
          <w:color w:val="auto"/>
          <w:sz w:val="24"/>
          <w:szCs w:val="24"/>
          <w:lang w:val="en-US" w:eastAsia="zh-CN"/>
        </w:rPr>
        <w:t>长垣市第二污水处理厂</w:t>
      </w:r>
      <w:r>
        <w:rPr>
          <w:rFonts w:cs="Times New Roman"/>
          <w:bCs/>
          <w:color w:val="auto"/>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）废气</w:t>
      </w:r>
    </w:p>
    <w:p>
      <w:pPr>
        <w:keepNext w:val="0"/>
        <w:keepLines w:val="0"/>
        <w:pageBreakBefore w:val="0"/>
        <w:widowControl w:val="0"/>
        <w:kinsoku/>
        <w:wordWrap w:val="0"/>
        <w:overflowPunct/>
        <w:topLinePunct w:val="0"/>
        <w:autoSpaceDE/>
        <w:autoSpaceDN/>
        <w:bidi w:val="0"/>
        <w:adjustRightInd/>
        <w:snapToGrid/>
        <w:spacing w:line="520" w:lineRule="exact"/>
        <w:ind w:firstLine="480"/>
        <w:textAlignment w:val="auto"/>
        <w:rPr>
          <w:rFonts w:hint="eastAsia" w:cs="Times New Roman" w:eastAsiaTheme="minorEastAsia"/>
          <w:color w:val="000000" w:themeColor="text1"/>
          <w:vertAlign w:val="baseline"/>
          <w:lang w:val="en-US" w:eastAsia="zh-CN"/>
          <w14:textFill>
            <w14:solidFill>
              <w14:schemeClr w14:val="tx1"/>
            </w14:solidFill>
          </w14:textFill>
        </w:rPr>
      </w:pPr>
      <w:r>
        <w:rPr>
          <w:rFonts w:hint="eastAsia" w:cs="Times New Roman"/>
          <w:color w:val="000000" w:themeColor="text1"/>
          <w14:textFill>
            <w14:solidFill>
              <w14:schemeClr w14:val="tx1"/>
            </w14:solidFill>
          </w14:textFill>
        </w:rPr>
        <w:t>由</w:t>
      </w:r>
      <w:r>
        <w:rPr>
          <w:rFonts w:hint="eastAsia" w:cs="Times New Roman"/>
          <w:color w:val="000000" w:themeColor="text1"/>
          <w:lang w:val="en-US" w:eastAsia="zh-CN"/>
          <w14:textFill>
            <w14:solidFill>
              <w14:schemeClr w14:val="tx1"/>
            </w14:solidFill>
          </w14:textFill>
        </w:rPr>
        <w:t>监测数据</w:t>
      </w:r>
      <w:r>
        <w:rPr>
          <w:rFonts w:cs="Times New Roman"/>
          <w:color w:val="000000" w:themeColor="text1"/>
          <w14:textFill>
            <w14:solidFill>
              <w14:schemeClr w14:val="tx1"/>
            </w14:solidFill>
          </w14:textFill>
        </w:rPr>
        <w:t>可知，</w:t>
      </w:r>
      <w:r>
        <w:rPr>
          <w:rFonts w:hint="eastAsia"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P2、P4、P5、P6、P7、P8排气筒有组织废气颗粒物经处理后浓度在4.9-8.8</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w:t>
      </w:r>
      <w:r>
        <w:rPr>
          <w:rFonts w:hint="eastAsia" w:cs="Times New Roman"/>
          <w:color w:val="000000" w:themeColor="text1"/>
          <w:sz w:val="24"/>
          <w:szCs w:val="24"/>
          <w:vertAlign w:val="baseline"/>
          <w:lang w:val="en-US" w:eastAsia="zh-CN"/>
          <w14:textFill>
            <w14:solidFill>
              <w14:schemeClr w14:val="tx1"/>
            </w14:solidFill>
          </w14:textFill>
        </w:rPr>
        <w:t>5.99</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cs="Times New Roman"/>
          <w:i w:val="0"/>
          <w:color w:val="000000" w:themeColor="text1"/>
          <w:kern w:val="0"/>
          <w:sz w:val="24"/>
          <w:szCs w:val="24"/>
          <w:u w:val="none"/>
          <w:lang w:val="en-US" w:eastAsia="zh-CN" w:bidi="ar"/>
          <w14:textFill>
            <w14:solidFill>
              <w14:schemeClr w14:val="tx1"/>
            </w14:solidFill>
          </w14:textFill>
        </w:rPr>
        <w:t>10</w:t>
      </w:r>
      <w:r>
        <w:rPr>
          <w:rFonts w:hint="eastAsia" w:ascii="Times New Roman" w:hAnsi="Times New Roman" w:cs="Times New Roman"/>
          <w:i w:val="0"/>
          <w:color w:val="000000" w:themeColor="text1"/>
          <w:kern w:val="0"/>
          <w:sz w:val="24"/>
          <w:szCs w:val="24"/>
          <w:u w:val="none"/>
          <w:vertAlign w:val="superscript"/>
          <w:lang w:val="en-US" w:eastAsia="zh-CN" w:bidi="ar"/>
          <w14:textFill>
            <w14:solidFill>
              <w14:schemeClr w14:val="tx1"/>
            </w14:solidFill>
          </w14:textFill>
        </w:rPr>
        <w:t>-</w:t>
      </w:r>
      <w:r>
        <w:rPr>
          <w:rFonts w:hint="eastAsia" w:cs="Times New Roman"/>
          <w:i w:val="0"/>
          <w:color w:val="000000" w:themeColor="text1"/>
          <w:kern w:val="0"/>
          <w:sz w:val="24"/>
          <w:szCs w:val="24"/>
          <w:u w:val="none"/>
          <w:vertAlign w:val="superscript"/>
          <w:lang w:val="en-US" w:eastAsia="zh-CN" w:bidi="ar"/>
          <w14:textFill>
            <w14:solidFill>
              <w14:schemeClr w14:val="tx1"/>
            </w14:solidFill>
          </w14:textFill>
        </w:rPr>
        <w:t>2</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-0.129kg/h之间，满足《大气污染物综合排放标准》（GB16297-1996）表2标准，同时满足新乡市生态环境局《关于进一步规范工业企业颗粒物排放限值的通知》要求；P1、P9排气筒有组织废气非甲烷总烃排放浓度在</w:t>
      </w:r>
      <w:r>
        <w:rPr>
          <w:rFonts w:hint="eastAsia" w:cs="Times New Roman"/>
          <w:color w:val="000000" w:themeColor="text1"/>
          <w:lang w:val="en-US" w:eastAsia="zh-CN"/>
          <w14:textFill>
            <w14:solidFill>
              <w14:schemeClr w14:val="tx1"/>
            </w14:solidFill>
          </w14:textFill>
        </w:rPr>
        <w:t>7.09-8.46</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之间，排放速率在0.127-0.181kg/h之间，满足《关于全省开展工业企业挥发性有机物专项治理工作中排放建议值的通知》豫环攻坚办[2017]162 号）标准，《大气污染物综合排放标准》（GB16297-1996）表2标准；P9排气筒有组织废气甲苯、二甲苯排放浓度及排放速率未检出，满足《关于全省开展工业企业挥发性有机物专项治理工作中排放建议值的通知》豫环攻坚办[2017]162 号）标准，《大气污染物综合排放标准》（GB16297-1996）表2标准</w:t>
      </w:r>
      <w:r>
        <w:rPr>
          <w:rFonts w:hint="eastAsia"/>
          <w:color w:val="000000"/>
          <w:lang w:val="en-US" w:eastAsia="zh-CN"/>
        </w:rPr>
        <w:t>；P5排气筒有组织废气颗粒物排放浓度5.1-6.0</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之间，排放速率在0.123-0.146kg/h之间，</w:t>
      </w:r>
      <w:r>
        <w:rPr>
          <w:rFonts w:hint="eastAsia" w:cs="Times New Roman"/>
          <w:i w:val="0"/>
          <w:color w:val="000000" w:themeColor="text1"/>
          <w:kern w:val="0"/>
          <w:sz w:val="24"/>
          <w:szCs w:val="24"/>
          <w:u w:val="none"/>
          <w:vertAlign w:val="baseline"/>
          <w:lang w:val="en-US" w:eastAsia="zh-CN" w:bidi="ar"/>
          <w14:textFill>
            <w14:solidFill>
              <w14:schemeClr w14:val="tx1"/>
            </w14:solidFill>
          </w14:textFill>
        </w:rPr>
        <w:t>满足《大气污染物综合排放标准》（GB16297-1996）表2标准，满足新乡市生态环境局《关于进一步规范工业企业颗粒物排放限值的通知》要求，非甲烷总烃、甲苯、二甲苯排放浓度满足</w:t>
      </w:r>
      <w:r>
        <w:rPr>
          <w:bCs/>
        </w:rPr>
        <w:t>《关于全省开展工业企业挥发性有机物专项治理工作中排放建议值的通知》（豫环攻坚办[2017]162号）</w:t>
      </w:r>
      <w:r>
        <w:rPr>
          <w:rFonts w:hint="eastAsia"/>
          <w:bCs/>
          <w:lang w:val="en-US" w:eastAsia="zh-CN"/>
        </w:rPr>
        <w:t>及</w:t>
      </w:r>
      <w:r>
        <w:rPr>
          <w:bCs/>
        </w:rPr>
        <w:t>《工业涂装工序挥发性有机物排放标准》（DB41/1951-2020）表1标准要求</w:t>
      </w:r>
      <w:r>
        <w:rPr>
          <w:rFonts w:hint="eastAsia"/>
          <w:bCs/>
          <w:lang w:eastAsia="zh-CN"/>
        </w:rPr>
        <w:t>；</w:t>
      </w:r>
      <w:r>
        <w:rPr>
          <w:rFonts w:hint="eastAsia"/>
          <w:bCs/>
          <w:lang w:val="en-US" w:eastAsia="zh-CN"/>
        </w:rPr>
        <w:t>食堂油烟排放浓度在0.59-0.74</w:t>
      </w:r>
      <w:r>
        <w:rPr>
          <w:rFonts w:cs="Times New Roman"/>
          <w:color w:val="000000" w:themeColor="text1"/>
          <w14:textFill>
            <w14:solidFill>
              <w14:schemeClr w14:val="tx1"/>
            </w14:solidFill>
          </w14:textFill>
        </w:rPr>
        <w:t>mg/m</w:t>
      </w:r>
      <w:r>
        <w:rPr>
          <w:rFonts w:cs="Times New Roman"/>
          <w:color w:val="000000" w:themeColor="text1"/>
          <w:vertAlign w:val="superscript"/>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之间，满足</w:t>
      </w:r>
      <w:r>
        <w:t>《餐饮业油烟污染物排放标准》（DB41/1604-2018）表1标准要求</w:t>
      </w:r>
      <w:r>
        <w:rPr>
          <w:rFonts w:hint="eastAsia"/>
          <w:lang w:eastAsia="zh-CN"/>
        </w:rPr>
        <w:t>。</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val="0"/>
        <w:spacing w:line="480" w:lineRule="exact"/>
        <w:ind w:firstLine="480"/>
        <w:textAlignment w:val="auto"/>
        <w:rPr>
          <w:rFonts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由监测结果</w:t>
      </w:r>
      <w:r>
        <w:rPr>
          <w:rFonts w:cs="Times New Roman"/>
          <w:bCs/>
          <w:color w:val="000000" w:themeColor="text1"/>
          <w14:textFill>
            <w14:solidFill>
              <w14:schemeClr w14:val="tx1"/>
            </w14:solidFill>
          </w14:textFill>
        </w:rPr>
        <w:t>可知，项目正常运行期间，厂界</w:t>
      </w:r>
      <w:r>
        <w:rPr>
          <w:rFonts w:hint="eastAsia" w:cs="Times New Roman"/>
          <w:bCs/>
          <w:color w:val="000000" w:themeColor="text1"/>
          <w:lang w:val="en-US" w:eastAsia="zh-CN"/>
          <w14:textFill>
            <w14:solidFill>
              <w14:schemeClr w14:val="tx1"/>
            </w14:solidFill>
          </w14:textFill>
        </w:rPr>
        <w:t>四周</w:t>
      </w:r>
      <w:r>
        <w:rPr>
          <w:rFonts w:hint="eastAsia" w:cs="Times New Roman"/>
          <w:bCs/>
          <w:color w:val="000000" w:themeColor="text1"/>
          <w14:textFill>
            <w14:solidFill>
              <w14:schemeClr w14:val="tx1"/>
            </w14:solidFill>
          </w14:textFill>
        </w:rPr>
        <w:t>噪声</w:t>
      </w:r>
      <w:r>
        <w:rPr>
          <w:rFonts w:cs="Times New Roman"/>
          <w:bCs/>
          <w:color w:val="000000" w:themeColor="text1"/>
          <w14:textFill>
            <w14:solidFill>
              <w14:schemeClr w14:val="tx1"/>
            </w14:solidFill>
          </w14:textFill>
        </w:rPr>
        <w:t>昼间监测值</w:t>
      </w:r>
      <w:r>
        <w:rPr>
          <w:rFonts w:hint="eastAsia" w:cs="Times New Roman"/>
          <w:bCs/>
          <w:color w:val="000000" w:themeColor="text1"/>
          <w14:textFill>
            <w14:solidFill>
              <w14:schemeClr w14:val="tx1"/>
            </w14:solidFill>
          </w14:textFill>
        </w:rPr>
        <w:t>在</w:t>
      </w:r>
      <w:r>
        <w:rPr>
          <w:rFonts w:hint="eastAsia" w:cs="Times New Roman"/>
          <w:bCs/>
          <w:color w:val="000000" w:themeColor="text1"/>
          <w:lang w:val="en-US" w:eastAsia="zh-CN"/>
          <w14:textFill>
            <w14:solidFill>
              <w14:schemeClr w14:val="tx1"/>
            </w14:solidFill>
          </w14:textFill>
        </w:rPr>
        <w:t>52-54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val="en-US" w:eastAsia="zh-CN"/>
          <w14:textFill>
            <w14:solidFill>
              <w14:schemeClr w14:val="tx1"/>
            </w14:solidFill>
          </w14:textFill>
        </w:rPr>
        <w:t>夜间监测值在42-44</w:t>
      </w:r>
      <w:r>
        <w:rPr>
          <w:rFonts w:hint="eastAsia" w:cs="Times New Roman"/>
          <w:bCs/>
          <w:color w:val="000000" w:themeColor="text1"/>
          <w14:textFill>
            <w14:solidFill>
              <w14:schemeClr w14:val="tx1"/>
            </w14:solidFill>
          </w14:textFill>
        </w:rPr>
        <w:t>dB(A)之间</w:t>
      </w:r>
      <w:r>
        <w:rPr>
          <w:rFonts w:hint="eastAsia" w:cs="Times New Roman"/>
          <w:bCs/>
          <w:color w:val="000000" w:themeColor="text1"/>
          <w:lang w:eastAsia="zh-CN"/>
          <w14:textFill>
            <w14:solidFill>
              <w14:schemeClr w14:val="tx1"/>
            </w14:solidFill>
          </w14:textFill>
        </w:rPr>
        <w:t>，</w:t>
      </w:r>
      <w:r>
        <w:rPr>
          <w:rFonts w:cs="Times New Roman"/>
          <w:bCs/>
          <w:color w:val="000000" w:themeColor="text1"/>
          <w14:textFill>
            <w14:solidFill>
              <w14:schemeClr w14:val="tx1"/>
            </w14:solidFill>
          </w14:textFill>
        </w:rPr>
        <w:t>满足《工业企业厂界环境噪声排放标准》（GB12348-2008）</w:t>
      </w:r>
      <w:r>
        <w:rPr>
          <w:rFonts w:hint="eastAsia" w:cs="Times New Roman"/>
          <w:bCs/>
          <w:color w:val="000000" w:themeColor="text1"/>
          <w:lang w:val="en-US" w:eastAsia="zh-CN"/>
          <w14:textFill>
            <w14:solidFill>
              <w14:schemeClr w14:val="tx1"/>
            </w14:solidFill>
          </w14:textFill>
        </w:rPr>
        <w:t>3</w:t>
      </w:r>
      <w:r>
        <w:rPr>
          <w:rFonts w:hint="eastAsia" w:cs="Times New Roman"/>
          <w:bCs/>
          <w:color w:val="000000" w:themeColor="text1"/>
          <w14:textFill>
            <w14:solidFill>
              <w14:schemeClr w14:val="tx1"/>
            </w14:solidFill>
          </w14:textFill>
        </w:rPr>
        <w:t>类</w:t>
      </w:r>
      <w:r>
        <w:rPr>
          <w:rFonts w:cs="Times New Roman"/>
          <w:bCs/>
          <w:color w:val="000000" w:themeColor="text1"/>
          <w14:textFill>
            <w14:solidFill>
              <w14:schemeClr w14:val="tx1"/>
            </w14:solidFill>
          </w14:textFill>
        </w:rPr>
        <w:t>标准要求</w:t>
      </w:r>
      <w:r>
        <w:rPr>
          <w:rFonts w:hint="eastAsia" w:cs="Times New Roman"/>
          <w:bCs/>
          <w:color w:val="000000" w:themeColor="text1"/>
          <w14:textFill>
            <w14:solidFill>
              <w14:schemeClr w14:val="tx1"/>
            </w14:solidFill>
          </w14:textFill>
        </w:rPr>
        <w:t>（昼间</w:t>
      </w:r>
      <w:r>
        <w:rPr>
          <w:rFonts w:cs="Times New Roman"/>
          <w:bCs/>
          <w:color w:val="000000" w:themeColor="text1"/>
          <w14:textFill>
            <w14:solidFill>
              <w14:schemeClr w14:val="tx1"/>
            </w14:solidFill>
          </w14:textFill>
        </w:rPr>
        <w:t>≤</w:t>
      </w:r>
      <w:r>
        <w:rPr>
          <w:rFonts w:hint="eastAsia" w:cs="Times New Roman"/>
          <w:bCs/>
          <w:color w:val="000000" w:themeColor="text1"/>
          <w14:textFill>
            <w14:solidFill>
              <w14:schemeClr w14:val="tx1"/>
            </w14:solidFill>
          </w14:textFill>
        </w:rPr>
        <w:t>6</w:t>
      </w:r>
      <w:r>
        <w:rPr>
          <w:rFonts w:hint="eastAsia" w:cs="Times New Roman"/>
          <w:bCs/>
          <w:color w:val="000000" w:themeColor="text1"/>
          <w:lang w:val="en-US" w:eastAsia="zh-CN"/>
          <w14:textFill>
            <w14:solidFill>
              <w14:schemeClr w14:val="tx1"/>
            </w14:solidFill>
          </w14:textFill>
        </w:rPr>
        <w:t>5</w:t>
      </w:r>
      <w:r>
        <w:rPr>
          <w:rFonts w:hint="eastAsia" w:cs="Times New Roman"/>
          <w:bCs/>
          <w:color w:val="000000" w:themeColor="text1"/>
          <w14:textFill>
            <w14:solidFill>
              <w14:schemeClr w14:val="tx1"/>
            </w14:solidFill>
          </w14:textFill>
        </w:rPr>
        <w:t>dB(A)</w:t>
      </w:r>
      <w:r>
        <w:rPr>
          <w:rFonts w:hint="eastAsia" w:cs="Times New Roman"/>
          <w:bCs/>
          <w:color w:val="000000" w:themeColor="text1"/>
          <w:lang w:eastAsia="zh-CN"/>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夜间</w:t>
      </w:r>
      <w:r>
        <w:rPr>
          <w:rFonts w:cs="Times New Roman"/>
          <w:bCs/>
          <w:color w:val="000000" w:themeColor="text1"/>
          <w14:textFill>
            <w14:solidFill>
              <w14:schemeClr w14:val="tx1"/>
            </w14:solidFill>
          </w14:textFill>
        </w:rPr>
        <w:t>≤</w:t>
      </w:r>
      <w:r>
        <w:rPr>
          <w:rFonts w:hint="eastAsia" w:cs="Times New Roman"/>
          <w:bCs/>
          <w:color w:val="000000" w:themeColor="text1"/>
          <w:lang w:val="en-US" w:eastAsia="zh-CN"/>
          <w14:textFill>
            <w14:solidFill>
              <w14:schemeClr w14:val="tx1"/>
            </w14:solidFill>
          </w14:textFill>
        </w:rPr>
        <w:t>55</w:t>
      </w:r>
      <w:r>
        <w:rPr>
          <w:rFonts w:hint="eastAsia" w:cs="Times New Roman"/>
          <w:bCs/>
          <w:color w:val="000000" w:themeColor="text1"/>
          <w14:textFill>
            <w14:solidFill>
              <w14:schemeClr w14:val="tx1"/>
            </w14:solidFill>
          </w14:textFill>
        </w:rPr>
        <w:t>dB(A)）。</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建议：</w:t>
      </w:r>
    </w:p>
    <w:p>
      <w:pPr>
        <w:pStyle w:val="1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val="0"/>
          <w:bCs/>
          <w:color w:val="000000" w:themeColor="text1"/>
          <w:sz w:val="24"/>
          <w:szCs w:val="24"/>
          <w14:textFill>
            <w14:solidFill>
              <w14:schemeClr w14:val="tx1"/>
            </w14:solidFill>
          </w14:textFill>
        </w:rPr>
        <w:t>对各种污染防治措施加强管理，发现问题及时采取措施解决，确保污染治理设施能够长期稳定运行，做到污染物稳定达标排放。</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2. 认真落实各项环境保护制度</w:t>
      </w:r>
      <w:r>
        <w:rPr>
          <w:rFonts w:hint="default" w:ascii="Times New Roman" w:hAnsi="Times New Roman" w:eastAsia="宋体" w:cs="Times New Roman"/>
          <w:b w:val="0"/>
          <w:bCs/>
          <w:color w:val="000000" w:themeColor="text1"/>
          <w:sz w:val="24"/>
          <w:szCs w:val="24"/>
          <w14:textFill>
            <w14:solidFill>
              <w14:schemeClr w14:val="tx1"/>
            </w14:solidFill>
          </w14:textFill>
        </w:rPr>
        <w:t>，规范环保标识</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80" w:lineRule="exact"/>
        <w:ind w:firstLine="602" w:firstLineChars="200"/>
        <w:textAlignment w:val="auto"/>
        <w:rPr>
          <w:rFonts w:hint="default" w:ascii="Times New Roman" w:hAnsi="Times New Roman" w:eastAsia="宋体" w:cs="Times New Roman"/>
          <w:b/>
          <w:bCs/>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Lines="0" w:afterLines="0" w:line="520" w:lineRule="exact"/>
        <w:textAlignment w:val="auto"/>
        <w:rPr>
          <w:rFonts w:hint="default"/>
          <w:lang w:val="en-US" w:eastAsia="zh-CN"/>
        </w:rPr>
      </w:pPr>
      <w:r>
        <w:drawing>
          <wp:anchor distT="0" distB="0" distL="114935" distR="114935" simplePos="0" relativeHeight="251669504" behindDoc="1" locked="0" layoutInCell="1" allowOverlap="1">
            <wp:simplePos x="0" y="0"/>
            <wp:positionH relativeFrom="column">
              <wp:posOffset>-222250</wp:posOffset>
            </wp:positionH>
            <wp:positionV relativeFrom="paragraph">
              <wp:posOffset>391160</wp:posOffset>
            </wp:positionV>
            <wp:extent cx="5826125" cy="8299450"/>
            <wp:effectExtent l="0" t="0" r="3175" b="6350"/>
            <wp:wrapNone/>
            <wp:docPr id="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1"/>
                    </pic:cNvPicPr>
                  </pic:nvPicPr>
                  <pic:blipFill>
                    <a:blip r:embed="rId34"/>
                    <a:stretch>
                      <a:fillRect/>
                    </a:stretch>
                  </pic:blipFill>
                  <pic:spPr>
                    <a:xfrm>
                      <a:off x="0" y="0"/>
                      <a:ext cx="5826125" cy="8299450"/>
                    </a:xfrm>
                    <a:prstGeom prst="rect">
                      <a:avLst/>
                    </a:prstGeom>
                    <a:noFill/>
                    <a:ln>
                      <a:noFill/>
                    </a:ln>
                  </pic:spPr>
                </pic:pic>
              </a:graphicData>
            </a:graphic>
          </wp:anchor>
        </w:drawing>
      </w:r>
      <w:r>
        <w:rPr>
          <w:rFonts w:hint="default"/>
          <w:lang w:val="en-US" w:eastAsia="zh-CN"/>
        </w:rPr>
        <w:t>附件</w:t>
      </w:r>
      <w:r>
        <w:rPr>
          <w:rFonts w:hint="eastAsia"/>
          <w:lang w:val="en-US" w:eastAsia="zh-CN"/>
        </w:rPr>
        <w:t>5 检测报告</w:t>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-393700</wp:posOffset>
            </wp:positionH>
            <wp:positionV relativeFrom="paragraph">
              <wp:posOffset>100330</wp:posOffset>
            </wp:positionV>
            <wp:extent cx="6120765" cy="8629015"/>
            <wp:effectExtent l="0" t="0" r="13335" b="635"/>
            <wp:wrapNone/>
            <wp:docPr id="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
                    <pic:cNvPicPr>
                      <a:picLocks noChangeAspect="1"/>
                    </pic:cNvPicPr>
                  </pic:nvPicPr>
                  <pic:blipFill>
                    <a:blip r:embed="rId35"/>
                    <a:stretch>
                      <a:fillRect/>
                    </a:stretch>
                  </pic:blipFill>
                  <pic:spPr>
                    <a:xfrm>
                      <a:off x="0" y="0"/>
                      <a:ext cx="6120765" cy="8629015"/>
                    </a:xfrm>
                    <a:prstGeom prst="rect">
                      <a:avLst/>
                    </a:prstGeom>
                    <a:noFill/>
                    <a:ln>
                      <a:noFill/>
                    </a:ln>
                  </pic:spPr>
                </pic:pic>
              </a:graphicData>
            </a:graphic>
          </wp:anchor>
        </w:drawing>
      </w:r>
    </w:p>
    <w:p>
      <w:pPr>
        <w:pStyle w:val="2"/>
        <w:jc w:val="cente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-467995</wp:posOffset>
            </wp:positionH>
            <wp:positionV relativeFrom="paragraph">
              <wp:posOffset>31115</wp:posOffset>
            </wp:positionV>
            <wp:extent cx="6127115" cy="8768715"/>
            <wp:effectExtent l="0" t="0" r="6985" b="13335"/>
            <wp:wrapNone/>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36"/>
                    <a:stretch>
                      <a:fillRect/>
                    </a:stretch>
                  </pic:blipFill>
                  <pic:spPr>
                    <a:xfrm>
                      <a:off x="0" y="0"/>
                      <a:ext cx="6127115" cy="876871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-473075</wp:posOffset>
            </wp:positionH>
            <wp:positionV relativeFrom="paragraph">
              <wp:posOffset>-8255</wp:posOffset>
            </wp:positionV>
            <wp:extent cx="6303645" cy="8855075"/>
            <wp:effectExtent l="0" t="0" r="1905" b="3175"/>
            <wp:wrapNone/>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37"/>
                    <a:stretch>
                      <a:fillRect/>
                    </a:stretch>
                  </pic:blipFill>
                  <pic:spPr>
                    <a:xfrm>
                      <a:off x="0" y="0"/>
                      <a:ext cx="6303645" cy="88550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-428625</wp:posOffset>
            </wp:positionH>
            <wp:positionV relativeFrom="paragraph">
              <wp:posOffset>-165735</wp:posOffset>
            </wp:positionV>
            <wp:extent cx="6313805" cy="9013825"/>
            <wp:effectExtent l="0" t="0" r="10795" b="15875"/>
            <wp:wrapNone/>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38"/>
                    <a:stretch>
                      <a:fillRect/>
                    </a:stretch>
                  </pic:blipFill>
                  <pic:spPr>
                    <a:xfrm>
                      <a:off x="0" y="0"/>
                      <a:ext cx="6313805" cy="901382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-457200</wp:posOffset>
            </wp:positionH>
            <wp:positionV relativeFrom="paragraph">
              <wp:posOffset>-24130</wp:posOffset>
            </wp:positionV>
            <wp:extent cx="6348095" cy="8911590"/>
            <wp:effectExtent l="0" t="0" r="14605" b="3810"/>
            <wp:wrapNone/>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39"/>
                    <a:stretch>
                      <a:fillRect/>
                    </a:stretch>
                  </pic:blipFill>
                  <pic:spPr>
                    <a:xfrm>
                      <a:off x="0" y="0"/>
                      <a:ext cx="6348095" cy="891159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-568325</wp:posOffset>
            </wp:positionH>
            <wp:positionV relativeFrom="paragraph">
              <wp:posOffset>-131445</wp:posOffset>
            </wp:positionV>
            <wp:extent cx="6436995" cy="9134475"/>
            <wp:effectExtent l="0" t="0" r="1905" b="9525"/>
            <wp:wrapNone/>
            <wp:docPr id="9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5"/>
                    <pic:cNvPicPr>
                      <a:picLocks noChangeAspect="1"/>
                    </pic:cNvPicPr>
                  </pic:nvPicPr>
                  <pic:blipFill>
                    <a:blip r:embed="rId40"/>
                    <a:stretch>
                      <a:fillRect/>
                    </a:stretch>
                  </pic:blipFill>
                  <pic:spPr>
                    <a:xfrm>
                      <a:off x="0" y="0"/>
                      <a:ext cx="6436995" cy="9134475"/>
                    </a:xfrm>
                    <a:prstGeom prst="rect">
                      <a:avLst/>
                    </a:prstGeom>
                    <a:noFill/>
                    <a:ln>
                      <a:noFill/>
                    </a:ln>
                  </pic:spPr>
                </pic:pic>
              </a:graphicData>
            </a:graphic>
          </wp:anchor>
        </w:drawing>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174625</wp:posOffset>
            </wp:positionH>
            <wp:positionV relativeFrom="paragraph">
              <wp:posOffset>-467360</wp:posOffset>
            </wp:positionV>
            <wp:extent cx="8340090" cy="5896610"/>
            <wp:effectExtent l="0" t="0" r="3810" b="8890"/>
            <wp:wrapNone/>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41"/>
                    <a:stretch>
                      <a:fillRect/>
                    </a:stretch>
                  </pic:blipFill>
                  <pic:spPr>
                    <a:xfrm>
                      <a:off x="0" y="0"/>
                      <a:ext cx="8340090" cy="5896610"/>
                    </a:xfrm>
                    <a:prstGeom prst="rect">
                      <a:avLst/>
                    </a:prstGeom>
                    <a:noFill/>
                    <a:ln>
                      <a:noFill/>
                    </a:ln>
                  </pic:spPr>
                </pic:pic>
              </a:graphicData>
            </a:graphic>
          </wp:anchor>
        </w:drawing>
      </w:r>
    </w:p>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304800</wp:posOffset>
            </wp:positionH>
            <wp:positionV relativeFrom="paragraph">
              <wp:posOffset>60960</wp:posOffset>
            </wp:positionV>
            <wp:extent cx="8458200" cy="5408930"/>
            <wp:effectExtent l="0" t="0" r="0" b="1270"/>
            <wp:wrapNone/>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42"/>
                    <a:stretch>
                      <a:fillRect/>
                    </a:stretch>
                  </pic:blipFill>
                  <pic:spPr>
                    <a:xfrm>
                      <a:off x="0" y="0"/>
                      <a:ext cx="8458200" cy="5408930"/>
                    </a:xfrm>
                    <a:prstGeom prst="rect">
                      <a:avLst/>
                    </a:prstGeom>
                    <a:noFill/>
                    <a:ln>
                      <a:noFill/>
                    </a:ln>
                  </pic:spPr>
                </pic:pic>
              </a:graphicData>
            </a:graphic>
          </wp:anchor>
        </w:drawing>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-95250</wp:posOffset>
            </wp:positionH>
            <wp:positionV relativeFrom="paragraph">
              <wp:posOffset>-180340</wp:posOffset>
            </wp:positionV>
            <wp:extent cx="9105900" cy="5537200"/>
            <wp:effectExtent l="0" t="0" r="0" b="6350"/>
            <wp:wrapNone/>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43"/>
                    <a:stretch>
                      <a:fillRect/>
                    </a:stretch>
                  </pic:blipFill>
                  <pic:spPr>
                    <a:xfrm>
                      <a:off x="0" y="0"/>
                      <a:ext cx="9105900" cy="5537200"/>
                    </a:xfrm>
                    <a:prstGeom prst="rect">
                      <a:avLst/>
                    </a:prstGeom>
                    <a:noFill/>
                    <a:ln>
                      <a:noFill/>
                    </a:ln>
                  </pic:spPr>
                </pic:pic>
              </a:graphicData>
            </a:graphic>
          </wp:anchor>
        </w:drawing>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381635</wp:posOffset>
            </wp:positionH>
            <wp:positionV relativeFrom="paragraph">
              <wp:posOffset>-382270</wp:posOffset>
            </wp:positionV>
            <wp:extent cx="8118475" cy="5769610"/>
            <wp:effectExtent l="0" t="0" r="15875" b="2540"/>
            <wp:wrapNone/>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44"/>
                    <a:stretch>
                      <a:fillRect/>
                    </a:stretch>
                  </pic:blipFill>
                  <pic:spPr>
                    <a:xfrm>
                      <a:off x="0" y="0"/>
                      <a:ext cx="8118475" cy="5769610"/>
                    </a:xfrm>
                    <a:prstGeom prst="rect">
                      <a:avLst/>
                    </a:prstGeom>
                    <a:noFill/>
                    <a:ln>
                      <a:noFill/>
                    </a:ln>
                  </pic:spPr>
                </pic:pic>
              </a:graphicData>
            </a:graphic>
          </wp:anchor>
        </w:drawing>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788400" cy="5353050"/>
            <wp:effectExtent l="0" t="0" r="12700" b="0"/>
            <wp:docPr id="1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
                    <pic:cNvPicPr>
                      <a:picLocks noChangeAspect="1"/>
                    </pic:cNvPicPr>
                  </pic:nvPicPr>
                  <pic:blipFill>
                    <a:blip r:embed="rId45"/>
                    <a:stretch>
                      <a:fillRect/>
                    </a:stretch>
                  </pic:blipFill>
                  <pic:spPr>
                    <a:xfrm>
                      <a:off x="0" y="0"/>
                      <a:ext cx="8788400" cy="5353050"/>
                    </a:xfrm>
                    <a:prstGeom prst="rect">
                      <a:avLst/>
                    </a:prstGeom>
                    <a:noFill/>
                    <a:ln>
                      <a:noFill/>
                    </a:ln>
                  </pic:spPr>
                </pic:pic>
              </a:graphicData>
            </a:graphic>
          </wp:inline>
        </w:drawing>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689975" cy="5627370"/>
            <wp:effectExtent l="0" t="0" r="15875" b="11430"/>
            <wp:docPr id="10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pic:cNvPicPr>
                      <a:picLocks noChangeAspect="1"/>
                    </pic:cNvPicPr>
                  </pic:nvPicPr>
                  <pic:blipFill>
                    <a:blip r:embed="rId46"/>
                    <a:stretch>
                      <a:fillRect/>
                    </a:stretch>
                  </pic:blipFill>
                  <pic:spPr>
                    <a:xfrm>
                      <a:off x="0" y="0"/>
                      <a:ext cx="8689975" cy="5627370"/>
                    </a:xfrm>
                    <a:prstGeom prst="rect">
                      <a:avLst/>
                    </a:prstGeom>
                    <a:noFill/>
                    <a:ln>
                      <a:noFill/>
                    </a:ln>
                  </pic:spPr>
                </pic:pic>
              </a:graphicData>
            </a:graphic>
          </wp:inline>
        </w:drawing>
      </w:r>
    </w:p>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633460" cy="5260975"/>
            <wp:effectExtent l="0" t="0" r="15240" b="15875"/>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47"/>
                    <a:stretch>
                      <a:fillRect/>
                    </a:stretch>
                  </pic:blipFill>
                  <pic:spPr>
                    <a:xfrm>
                      <a:off x="0" y="0"/>
                      <a:ext cx="8633460" cy="5260975"/>
                    </a:xfrm>
                    <a:prstGeom prst="rect">
                      <a:avLst/>
                    </a:prstGeom>
                    <a:noFill/>
                    <a:ln>
                      <a:noFill/>
                    </a:ln>
                  </pic:spPr>
                </pic:pic>
              </a:graphicData>
            </a:graphic>
          </wp:inline>
        </w:drawing>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inline distT="0" distB="0" distL="114300" distR="114300">
            <wp:extent cx="8942705" cy="4410075"/>
            <wp:effectExtent l="0" t="0" r="10795" b="9525"/>
            <wp:docPr id="10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
                    <pic:cNvPicPr>
                      <a:picLocks noChangeAspect="1"/>
                    </pic:cNvPicPr>
                  </pic:nvPicPr>
                  <pic:blipFill>
                    <a:blip r:embed="rId48"/>
                    <a:stretch>
                      <a:fillRect/>
                    </a:stretch>
                  </pic:blipFill>
                  <pic:spPr>
                    <a:xfrm>
                      <a:off x="0" y="0"/>
                      <a:ext cx="8942705" cy="4410075"/>
                    </a:xfrm>
                    <a:prstGeom prst="rect">
                      <a:avLst/>
                    </a:prstGeom>
                    <a:noFill/>
                    <a:ln>
                      <a:noFill/>
                    </a:ln>
                  </pic:spPr>
                </pic:pic>
              </a:graphicData>
            </a:graphic>
          </wp:inline>
        </w:drawing>
      </w:r>
    </w:p>
    <w:p>
      <w:r>
        <w:drawing>
          <wp:anchor distT="0" distB="0" distL="114935" distR="114935" simplePos="0" relativeHeight="251669504" behindDoc="1" locked="0" layoutInCell="1" allowOverlap="1">
            <wp:simplePos x="0" y="0"/>
            <wp:positionH relativeFrom="column">
              <wp:posOffset>-409575</wp:posOffset>
            </wp:positionH>
            <wp:positionV relativeFrom="paragraph">
              <wp:posOffset>52070</wp:posOffset>
            </wp:positionV>
            <wp:extent cx="6196965" cy="8623300"/>
            <wp:effectExtent l="0" t="0" r="13335" b="6350"/>
            <wp:wrapNone/>
            <wp:docPr id="1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
                    <pic:cNvPicPr>
                      <a:picLocks noChangeAspect="1"/>
                    </pic:cNvPicPr>
                  </pic:nvPicPr>
                  <pic:blipFill>
                    <a:blip r:embed="rId49"/>
                    <a:stretch>
                      <a:fillRect/>
                    </a:stretch>
                  </pic:blipFill>
                  <pic:spPr>
                    <a:xfrm>
                      <a:off x="0" y="0"/>
                      <a:ext cx="6196965" cy="8623300"/>
                    </a:xfrm>
                    <a:prstGeom prst="rect">
                      <a:avLst/>
                    </a:prstGeom>
                    <a:noFill/>
                    <a:ln>
                      <a:noFill/>
                    </a:ln>
                  </pic:spPr>
                </pic:pic>
              </a:graphicData>
            </a:graphic>
          </wp:anchor>
        </w:drawing>
      </w:r>
    </w:p>
    <w:p>
      <w:pPr>
        <w:bidi w:val="0"/>
        <w:rPr>
          <w:rFonts w:hint="default" w:ascii="Times New Roman" w:hAnsi="Times New Roman" w:eastAsiaTheme="minorEastAsia" w:cstheme="minorBidi"/>
          <w:kern w:val="2"/>
          <w:sz w:val="24"/>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741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lang w:val="en-US" w:eastAsia="zh-CN"/>
        </w:rPr>
        <w:tab/>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-301625</wp:posOffset>
            </wp:positionH>
            <wp:positionV relativeFrom="paragraph">
              <wp:posOffset>-62230</wp:posOffset>
            </wp:positionV>
            <wp:extent cx="5746750" cy="8933180"/>
            <wp:effectExtent l="0" t="0" r="6350" b="1270"/>
            <wp:wrapNone/>
            <wp:docPr id="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5"/>
                    <pic:cNvPicPr>
                      <a:picLocks noChangeAspect="1"/>
                    </pic:cNvPicPr>
                  </pic:nvPicPr>
                  <pic:blipFill>
                    <a:blip r:embed="rId50"/>
                    <a:stretch>
                      <a:fillRect/>
                    </a:stretch>
                  </pic:blipFill>
                  <pic:spPr>
                    <a:xfrm>
                      <a:off x="0" y="0"/>
                      <a:ext cx="5746750" cy="893318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-508000</wp:posOffset>
            </wp:positionH>
            <wp:positionV relativeFrom="paragraph">
              <wp:posOffset>-22225</wp:posOffset>
            </wp:positionV>
            <wp:extent cx="6343650" cy="8890000"/>
            <wp:effectExtent l="0" t="0" r="0" b="6350"/>
            <wp:wrapNone/>
            <wp:docPr id="1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6"/>
                    <pic:cNvPicPr>
                      <a:picLocks noChangeAspect="1"/>
                    </pic:cNvPicPr>
                  </pic:nvPicPr>
                  <pic:blipFill>
                    <a:blip r:embed="rId51"/>
                    <a:stretch>
                      <a:fillRect/>
                    </a:stretch>
                  </pic:blipFill>
                  <pic:spPr>
                    <a:xfrm>
                      <a:off x="0" y="0"/>
                      <a:ext cx="6343650" cy="8890000"/>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-171450</wp:posOffset>
            </wp:positionH>
            <wp:positionV relativeFrom="paragraph">
              <wp:posOffset>-100965</wp:posOffset>
            </wp:positionV>
            <wp:extent cx="6005830" cy="9248775"/>
            <wp:effectExtent l="0" t="0" r="13970" b="9525"/>
            <wp:wrapNone/>
            <wp:docPr id="1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7"/>
                    <pic:cNvPicPr>
                      <a:picLocks noChangeAspect="1"/>
                    </pic:cNvPicPr>
                  </pic:nvPicPr>
                  <pic:blipFill>
                    <a:blip r:embed="rId52"/>
                    <a:stretch>
                      <a:fillRect/>
                    </a:stretch>
                  </pic:blipFill>
                  <pic:spPr>
                    <a:xfrm>
                      <a:off x="0" y="0"/>
                      <a:ext cx="6005830" cy="92487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-269875</wp:posOffset>
            </wp:positionH>
            <wp:positionV relativeFrom="paragraph">
              <wp:posOffset>-97155</wp:posOffset>
            </wp:positionV>
            <wp:extent cx="6233795" cy="9079865"/>
            <wp:effectExtent l="0" t="0" r="14605" b="6985"/>
            <wp:wrapNone/>
            <wp:docPr id="1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8"/>
                    <pic:cNvPicPr>
                      <a:picLocks noChangeAspect="1"/>
                    </pic:cNvPicPr>
                  </pic:nvPicPr>
                  <pic:blipFill>
                    <a:blip r:embed="rId53"/>
                    <a:stretch>
                      <a:fillRect/>
                    </a:stretch>
                  </pic:blipFill>
                  <pic:spPr>
                    <a:xfrm>
                      <a:off x="0" y="0"/>
                      <a:ext cx="6233795" cy="907986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-536575</wp:posOffset>
            </wp:positionH>
            <wp:positionV relativeFrom="paragraph">
              <wp:posOffset>-243205</wp:posOffset>
            </wp:positionV>
            <wp:extent cx="6519545" cy="9334500"/>
            <wp:effectExtent l="0" t="0" r="14605" b="0"/>
            <wp:wrapNone/>
            <wp:docPr id="1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
                    <pic:cNvPicPr>
                      <a:picLocks noChangeAspect="1"/>
                    </pic:cNvPicPr>
                  </pic:nvPicPr>
                  <pic:blipFill>
                    <a:blip r:embed="rId54"/>
                    <a:stretch>
                      <a:fillRect/>
                    </a:stretch>
                  </pic:blipFill>
                  <pic:spPr>
                    <a:xfrm>
                      <a:off x="0" y="0"/>
                      <a:ext cx="6519545" cy="9334500"/>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-476250</wp:posOffset>
            </wp:positionH>
            <wp:positionV relativeFrom="paragraph">
              <wp:posOffset>-173355</wp:posOffset>
            </wp:positionV>
            <wp:extent cx="6289675" cy="8978900"/>
            <wp:effectExtent l="0" t="0" r="15875" b="12700"/>
            <wp:wrapNone/>
            <wp:docPr id="1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0"/>
                    <pic:cNvPicPr>
                      <a:picLocks noChangeAspect="1"/>
                    </pic:cNvPicPr>
                  </pic:nvPicPr>
                  <pic:blipFill>
                    <a:blip r:embed="rId55"/>
                    <a:stretch>
                      <a:fillRect/>
                    </a:stretch>
                  </pic:blipFill>
                  <pic:spPr>
                    <a:xfrm>
                      <a:off x="0" y="0"/>
                      <a:ext cx="6289675" cy="8978900"/>
                    </a:xfrm>
                    <a:prstGeom prst="rect">
                      <a:avLst/>
                    </a:prstGeom>
                    <a:noFill/>
                    <a:ln>
                      <a:noFill/>
                    </a:ln>
                  </pic:spPr>
                </pic:pic>
              </a:graphicData>
            </a:graphic>
          </wp:anchor>
        </w:drawing>
      </w:r>
    </w:p>
    <w:p>
      <w:r>
        <w:drawing>
          <wp:anchor distT="0" distB="0" distL="114935" distR="114935" simplePos="0" relativeHeight="251669504" behindDoc="1" locked="0" layoutInCell="1" allowOverlap="1">
            <wp:simplePos x="0" y="0"/>
            <wp:positionH relativeFrom="column">
              <wp:posOffset>-504825</wp:posOffset>
            </wp:positionH>
            <wp:positionV relativeFrom="paragraph">
              <wp:posOffset>29210</wp:posOffset>
            </wp:positionV>
            <wp:extent cx="6606540" cy="8782050"/>
            <wp:effectExtent l="0" t="0" r="3810" b="0"/>
            <wp:wrapNone/>
            <wp:docPr id="1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1"/>
                    <pic:cNvPicPr>
                      <a:picLocks noChangeAspect="1"/>
                    </pic:cNvPicPr>
                  </pic:nvPicPr>
                  <pic:blipFill>
                    <a:blip r:embed="rId56"/>
                    <a:stretch>
                      <a:fillRect/>
                    </a:stretch>
                  </pic:blipFill>
                  <pic:spPr>
                    <a:xfrm>
                      <a:off x="0" y="0"/>
                      <a:ext cx="6606540" cy="8782050"/>
                    </a:xfrm>
                    <a:prstGeom prst="rect">
                      <a:avLst/>
                    </a:prstGeom>
                    <a:noFill/>
                    <a:ln>
                      <a:noFill/>
                    </a:ln>
                  </pic:spPr>
                </pic:pic>
              </a:graphicData>
            </a:graphic>
          </wp:anchor>
        </w:drawing>
      </w:r>
    </w:p>
    <w:p>
      <w:pPr>
        <w:bidi w:val="0"/>
        <w:rPr>
          <w:rFonts w:hint="default" w:ascii="Times New Roman" w:hAnsi="Times New Roman" w:eastAsiaTheme="minorEastAsia" w:cstheme="minorBidi"/>
          <w:kern w:val="2"/>
          <w:sz w:val="24"/>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741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lang w:val="en-US" w:eastAsia="zh-CN"/>
        </w:rPr>
        <w:tab/>
      </w:r>
    </w:p>
    <w:p>
      <w:pPr>
        <w:pStyle w:val="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301625</wp:posOffset>
            </wp:positionH>
            <wp:positionV relativeFrom="paragraph">
              <wp:posOffset>-160655</wp:posOffset>
            </wp:positionV>
            <wp:extent cx="8245475" cy="5549265"/>
            <wp:effectExtent l="0" t="0" r="3175" b="13335"/>
            <wp:wrapNone/>
            <wp:docPr id="1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2"/>
                    <pic:cNvPicPr>
                      <a:picLocks noChangeAspect="1"/>
                    </pic:cNvPicPr>
                  </pic:nvPicPr>
                  <pic:blipFill>
                    <a:blip r:embed="rId57"/>
                    <a:stretch>
                      <a:fillRect/>
                    </a:stretch>
                  </pic:blipFill>
                  <pic:spPr>
                    <a:xfrm>
                      <a:off x="0" y="0"/>
                      <a:ext cx="8245475" cy="5549265"/>
                    </a:xfrm>
                    <a:prstGeom prst="rect">
                      <a:avLst/>
                    </a:prstGeom>
                    <a:noFill/>
                    <a:ln>
                      <a:noFill/>
                    </a:ln>
                  </pic:spPr>
                </pic:pic>
              </a:graphicData>
            </a:graphic>
          </wp:anchor>
        </w:drawing>
      </w:r>
    </w:p>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50800</wp:posOffset>
            </wp:positionH>
            <wp:positionV relativeFrom="paragraph">
              <wp:posOffset>79375</wp:posOffset>
            </wp:positionV>
            <wp:extent cx="8489950" cy="5159375"/>
            <wp:effectExtent l="0" t="0" r="6350" b="3175"/>
            <wp:wrapNone/>
            <wp:docPr id="1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3"/>
                    <pic:cNvPicPr>
                      <a:picLocks noChangeAspect="1"/>
                    </pic:cNvPicPr>
                  </pic:nvPicPr>
                  <pic:blipFill>
                    <a:blip r:embed="rId58"/>
                    <a:stretch>
                      <a:fillRect/>
                    </a:stretch>
                  </pic:blipFill>
                  <pic:spPr>
                    <a:xfrm>
                      <a:off x="0" y="0"/>
                      <a:ext cx="8489950" cy="5159375"/>
                    </a:xfrm>
                    <a:prstGeom prst="rect">
                      <a:avLst/>
                    </a:prstGeom>
                    <a:noFill/>
                    <a:ln>
                      <a:noFill/>
                    </a:ln>
                  </pic:spPr>
                </pic:pic>
              </a:graphicData>
            </a:graphic>
          </wp:anchor>
        </w:drawing>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-444500</wp:posOffset>
            </wp:positionH>
            <wp:positionV relativeFrom="paragraph">
              <wp:posOffset>-111760</wp:posOffset>
            </wp:positionV>
            <wp:extent cx="6079490" cy="8705215"/>
            <wp:effectExtent l="0" t="0" r="16510" b="635"/>
            <wp:wrapNone/>
            <wp:docPr id="1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pic:cNvPicPr>
                      <a:picLocks noChangeAspect="1"/>
                    </pic:cNvPicPr>
                  </pic:nvPicPr>
                  <pic:blipFill>
                    <a:blip r:embed="rId59"/>
                    <a:stretch>
                      <a:fillRect/>
                    </a:stretch>
                  </pic:blipFill>
                  <pic:spPr>
                    <a:xfrm>
                      <a:off x="0" y="0"/>
                      <a:ext cx="6079490" cy="8705215"/>
                    </a:xfrm>
                    <a:prstGeom prst="rect">
                      <a:avLst/>
                    </a:prstGeom>
                    <a:noFill/>
                    <a:ln>
                      <a:noFill/>
                    </a:ln>
                  </pic:spPr>
                </pic:pic>
              </a:graphicData>
            </a:graphic>
          </wp:anchor>
        </w:drawing>
      </w: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drawing>
          <wp:anchor distT="0" distB="0" distL="114935" distR="114935" simplePos="0" relativeHeight="251669504" behindDoc="1" locked="0" layoutInCell="1" allowOverlap="1">
            <wp:simplePos x="0" y="0"/>
            <wp:positionH relativeFrom="column">
              <wp:posOffset>-630555</wp:posOffset>
            </wp:positionH>
            <wp:positionV relativeFrom="paragraph">
              <wp:posOffset>-80010</wp:posOffset>
            </wp:positionV>
            <wp:extent cx="6457315" cy="8630285"/>
            <wp:effectExtent l="0" t="0" r="635" b="18415"/>
            <wp:wrapNone/>
            <wp:docPr id="1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
                    <pic:cNvPicPr>
                      <a:picLocks noChangeAspect="1"/>
                    </pic:cNvPicPr>
                  </pic:nvPicPr>
                  <pic:blipFill>
                    <a:blip r:embed="rId60"/>
                    <a:srcRect l="4662"/>
                    <a:stretch>
                      <a:fillRect/>
                    </a:stretch>
                  </pic:blipFill>
                  <pic:spPr>
                    <a:xfrm>
                      <a:off x="0" y="0"/>
                      <a:ext cx="6457315" cy="8630285"/>
                    </a:xfrm>
                    <a:prstGeom prst="rect">
                      <a:avLst/>
                    </a:prstGeom>
                    <a:noFill/>
                    <a:ln>
                      <a:noFill/>
                    </a:ln>
                  </pic:spPr>
                </pic:pic>
              </a:graphicData>
            </a:graphic>
          </wp:anchor>
        </w:drawing>
      </w:r>
    </w:p>
    <w:p>
      <w:pPr>
        <w:rPr>
          <w:rFonts w:hint="default"/>
          <w:lang w:val="en-US" w:eastAsia="zh-CN"/>
        </w:rPr>
      </w:pPr>
      <w:bookmarkStart w:id="585" w:name="_GoBack"/>
      <w:r>
        <w:rPr>
          <w:rFonts w:hint="default"/>
          <w:lang w:val="en-US" w:eastAsia="zh-CN"/>
        </w:rPr>
        <w:drawing>
          <wp:anchor distT="0" distB="0" distL="114935" distR="114935" simplePos="0" relativeHeight="251669504" behindDoc="1" locked="0" layoutInCell="1" allowOverlap="1">
            <wp:simplePos x="0" y="0"/>
            <wp:positionH relativeFrom="column">
              <wp:posOffset>1713230</wp:posOffset>
            </wp:positionH>
            <wp:positionV relativeFrom="paragraph">
              <wp:posOffset>-1701165</wp:posOffset>
            </wp:positionV>
            <wp:extent cx="5496560" cy="8799830"/>
            <wp:effectExtent l="0" t="0" r="1270" b="8890"/>
            <wp:wrapNone/>
            <wp:docPr id="2" name="图片 2" descr="b057fe0b54af15c7107d2ff9060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57fe0b54af15c7107d2ff90605708"/>
                    <pic:cNvPicPr>
                      <a:picLocks noChangeAspect="1"/>
                    </pic:cNvPicPr>
                  </pic:nvPicPr>
                  <pic:blipFill>
                    <a:blip r:embed="rId61"/>
                    <a:srcRect l="11200"/>
                    <a:stretch>
                      <a:fillRect/>
                    </a:stretch>
                  </pic:blipFill>
                  <pic:spPr>
                    <a:xfrm rot="16200000">
                      <a:off x="0" y="0"/>
                      <a:ext cx="5496560" cy="8799830"/>
                    </a:xfrm>
                    <a:prstGeom prst="rect">
                      <a:avLst/>
                    </a:prstGeom>
                  </pic:spPr>
                </pic:pic>
              </a:graphicData>
            </a:graphic>
          </wp:anchor>
        </w:drawing>
      </w:r>
      <w:bookmarkEnd w:id="585"/>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华文宋体">
    <w:altName w:val="宋体"/>
    <w:panose1 w:val="00000000000000000000"/>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JROcyAgAAZA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klE5zICAABkBAAADgAAAAAAAAABACAAAAAfAQAAZHJzL2Uyb0RvYy54bWxQSwUG&#10;AAAAAAYABgBZAQAAwwUAAAAA&#10;">
              <v:fill on="f" focussize="0,0"/>
              <v:stroke on="f" weight="0.5pt"/>
              <v:imagedata o:title=""/>
              <o:lock v:ext="edit" aspectratio="f"/>
              <v:textbox inset="0mm,0mm,0mm,0mm" style="mso-fit-shape-to-text:t;">
                <w:txbxContent>
                  <w:p>
                    <w:pPr>
                      <w:pStyle w:val="15"/>
                      <w:ind w:firstLine="360"/>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both"/>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left"/>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6"/>
                            <w:ind w:firstLine="360"/>
                            <w:rPr>
                              <w:rFonts w:eastAsia="宋体"/>
                            </w:rPr>
                          </w:pP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VPzQdIBAACnAwAADgAAAAAAAAABACAAAAAi&#10;AQAAZHJzL2Uyb0RvYy54bWxQSwUGAAAAAAYABgBZAQAAZgUAAAAA&#10;">
              <v:fill on="f" focussize="0,0"/>
              <v:stroke on="f" weight="1.25pt"/>
              <v:imagedata o:title=""/>
              <o:lock v:ext="edit" aspectratio="f"/>
              <v:textbox inset="0mm,0mm,0mm,0mm" style="mso-fit-shape-to-text:t;">
                <w:txbxContent>
                  <w:p>
                    <w:pPr>
                      <w:pStyle w:val="16"/>
                      <w:ind w:firstLine="360"/>
                      <w:rPr>
                        <w:rFonts w:eastAsia="宋体"/>
                      </w:rPr>
                    </w:pPr>
                  </w:p>
                </w:txbxContent>
              </v:textbox>
            </v:shape>
          </w:pict>
        </mc:Fallback>
      </mc:AlternateContent>
    </w:r>
    <w:r>
      <w:rPr>
        <w:rFonts w:hint="eastAsia"/>
      </w:rPr>
      <w:tab/>
    </w:r>
    <w:r>
      <w:rPr>
        <w:rFonts w:hint="eastAsia"/>
      </w:rPr>
      <w:tab/>
    </w:r>
  </w:p>
  <w:p>
    <w:pPr>
      <w:pStyle w:val="16"/>
      <w:ind w:firstLine="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1FB08A"/>
    <w:multiLevelType w:val="singleLevel"/>
    <w:tmpl w:val="5A1FB08A"/>
    <w:lvl w:ilvl="0" w:tentative="0">
      <w:start w:val="4"/>
      <w:numFmt w:val="decimal"/>
      <w:suff w:val="nothing"/>
      <w:lvlText w:val="%1 "/>
      <w:lvlJc w:val="left"/>
    </w:lvl>
  </w:abstractNum>
  <w:abstractNum w:abstractNumId="1">
    <w:nsid w:val="5A20BC67"/>
    <w:multiLevelType w:val="singleLevel"/>
    <w:tmpl w:val="5A20BC67"/>
    <w:lvl w:ilvl="0" w:tentative="0">
      <w:start w:val="6"/>
      <w:numFmt w:val="decimal"/>
      <w:suff w:val="nothing"/>
      <w:lvlText w:val="%1 "/>
      <w:lvlJc w:val="left"/>
    </w:lvl>
  </w:abstractNum>
  <w:abstractNum w:abstractNumId="2">
    <w:nsid w:val="5A20F1BE"/>
    <w:multiLevelType w:val="singleLevel"/>
    <w:tmpl w:val="5A20F1BE"/>
    <w:lvl w:ilvl="0" w:tentative="0">
      <w:start w:val="8"/>
      <w:numFmt w:val="decimal"/>
      <w:suff w:val="nothing"/>
      <w:lvlText w:val="%1 "/>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3OGVlZDMzOWRiZjZmMzA0ZjA5Mzg1ZDRkNDk5ZmMifQ=="/>
  </w:docVars>
  <w:rsids>
    <w:rsidRoot w:val="00172A27"/>
    <w:rsid w:val="0001251E"/>
    <w:rsid w:val="00095E6F"/>
    <w:rsid w:val="00160898"/>
    <w:rsid w:val="00172A27"/>
    <w:rsid w:val="001A0718"/>
    <w:rsid w:val="00233388"/>
    <w:rsid w:val="00241D71"/>
    <w:rsid w:val="0028239C"/>
    <w:rsid w:val="002E2EA3"/>
    <w:rsid w:val="00310C0F"/>
    <w:rsid w:val="00357A48"/>
    <w:rsid w:val="00431288"/>
    <w:rsid w:val="004C5F2A"/>
    <w:rsid w:val="005127EC"/>
    <w:rsid w:val="005273C7"/>
    <w:rsid w:val="00554306"/>
    <w:rsid w:val="005B017B"/>
    <w:rsid w:val="00614CE6"/>
    <w:rsid w:val="007038C8"/>
    <w:rsid w:val="007C3CA7"/>
    <w:rsid w:val="008106C9"/>
    <w:rsid w:val="008D38B0"/>
    <w:rsid w:val="008E3205"/>
    <w:rsid w:val="00AA1416"/>
    <w:rsid w:val="00BE1944"/>
    <w:rsid w:val="00C72B17"/>
    <w:rsid w:val="00C77B53"/>
    <w:rsid w:val="00CE7810"/>
    <w:rsid w:val="00DD19CF"/>
    <w:rsid w:val="00E33A54"/>
    <w:rsid w:val="00EF0E3A"/>
    <w:rsid w:val="00F03A94"/>
    <w:rsid w:val="00F4302F"/>
    <w:rsid w:val="00F74BA7"/>
    <w:rsid w:val="00FA0FDB"/>
    <w:rsid w:val="0111699F"/>
    <w:rsid w:val="012061BB"/>
    <w:rsid w:val="013E271F"/>
    <w:rsid w:val="01543412"/>
    <w:rsid w:val="0178240A"/>
    <w:rsid w:val="01802DB7"/>
    <w:rsid w:val="019E0ABF"/>
    <w:rsid w:val="01DE0D81"/>
    <w:rsid w:val="01F24520"/>
    <w:rsid w:val="01F573AC"/>
    <w:rsid w:val="02140717"/>
    <w:rsid w:val="02332524"/>
    <w:rsid w:val="02684121"/>
    <w:rsid w:val="02713B6B"/>
    <w:rsid w:val="0292713C"/>
    <w:rsid w:val="02B60049"/>
    <w:rsid w:val="02BC4699"/>
    <w:rsid w:val="02C833F6"/>
    <w:rsid w:val="030F6A09"/>
    <w:rsid w:val="0319507E"/>
    <w:rsid w:val="03247370"/>
    <w:rsid w:val="03256AD8"/>
    <w:rsid w:val="03276BF2"/>
    <w:rsid w:val="03282A9A"/>
    <w:rsid w:val="03A73B86"/>
    <w:rsid w:val="03E757FE"/>
    <w:rsid w:val="03E81748"/>
    <w:rsid w:val="03EE0BFE"/>
    <w:rsid w:val="03EF7E26"/>
    <w:rsid w:val="03F669BA"/>
    <w:rsid w:val="040D6069"/>
    <w:rsid w:val="0411754B"/>
    <w:rsid w:val="042445C5"/>
    <w:rsid w:val="04511538"/>
    <w:rsid w:val="045E0204"/>
    <w:rsid w:val="0468082E"/>
    <w:rsid w:val="048336E5"/>
    <w:rsid w:val="0492087E"/>
    <w:rsid w:val="04E90791"/>
    <w:rsid w:val="04FD0DB9"/>
    <w:rsid w:val="050570D7"/>
    <w:rsid w:val="051E610A"/>
    <w:rsid w:val="05451D3C"/>
    <w:rsid w:val="054F0EE4"/>
    <w:rsid w:val="055431D4"/>
    <w:rsid w:val="05561F15"/>
    <w:rsid w:val="05832F2F"/>
    <w:rsid w:val="05BF2D55"/>
    <w:rsid w:val="060D206E"/>
    <w:rsid w:val="061D2500"/>
    <w:rsid w:val="0625762A"/>
    <w:rsid w:val="06257E1D"/>
    <w:rsid w:val="06293F71"/>
    <w:rsid w:val="066E1FBD"/>
    <w:rsid w:val="06883DA0"/>
    <w:rsid w:val="06903B3B"/>
    <w:rsid w:val="06A242BF"/>
    <w:rsid w:val="06A45870"/>
    <w:rsid w:val="06A529E9"/>
    <w:rsid w:val="06F84F88"/>
    <w:rsid w:val="072326EA"/>
    <w:rsid w:val="074E6094"/>
    <w:rsid w:val="07E41B18"/>
    <w:rsid w:val="08015EC2"/>
    <w:rsid w:val="080D51B5"/>
    <w:rsid w:val="08391E03"/>
    <w:rsid w:val="08600749"/>
    <w:rsid w:val="08664D5D"/>
    <w:rsid w:val="086A426E"/>
    <w:rsid w:val="087C0606"/>
    <w:rsid w:val="096777E8"/>
    <w:rsid w:val="09792B71"/>
    <w:rsid w:val="0980011D"/>
    <w:rsid w:val="09916882"/>
    <w:rsid w:val="09A96BF7"/>
    <w:rsid w:val="09B10235"/>
    <w:rsid w:val="0A2E529B"/>
    <w:rsid w:val="0A3D72F7"/>
    <w:rsid w:val="0A4F0CAF"/>
    <w:rsid w:val="0A5C4D65"/>
    <w:rsid w:val="0A900FAD"/>
    <w:rsid w:val="0ACC1AA5"/>
    <w:rsid w:val="0AD2045D"/>
    <w:rsid w:val="0AD80DC1"/>
    <w:rsid w:val="0AEA7DC1"/>
    <w:rsid w:val="0AEC40E6"/>
    <w:rsid w:val="0B203076"/>
    <w:rsid w:val="0B6F22C1"/>
    <w:rsid w:val="0B742C6E"/>
    <w:rsid w:val="0B8B22F9"/>
    <w:rsid w:val="0B94449B"/>
    <w:rsid w:val="0BA43059"/>
    <w:rsid w:val="0BBC4560"/>
    <w:rsid w:val="0BE06A09"/>
    <w:rsid w:val="0BEE6F0C"/>
    <w:rsid w:val="0BF31E2C"/>
    <w:rsid w:val="0BFB415E"/>
    <w:rsid w:val="0C49262D"/>
    <w:rsid w:val="0C4E01B0"/>
    <w:rsid w:val="0C57581E"/>
    <w:rsid w:val="0C915FB3"/>
    <w:rsid w:val="0C9D2B86"/>
    <w:rsid w:val="0C9E5A84"/>
    <w:rsid w:val="0CB4027C"/>
    <w:rsid w:val="0CB51BC7"/>
    <w:rsid w:val="0CCE60D9"/>
    <w:rsid w:val="0CDF4AE0"/>
    <w:rsid w:val="0CE33B55"/>
    <w:rsid w:val="0D007CEF"/>
    <w:rsid w:val="0D2B4DB2"/>
    <w:rsid w:val="0D4B0A63"/>
    <w:rsid w:val="0D671CFF"/>
    <w:rsid w:val="0D69175D"/>
    <w:rsid w:val="0D8714F9"/>
    <w:rsid w:val="0D8A03EC"/>
    <w:rsid w:val="0DD568F6"/>
    <w:rsid w:val="0DE220DF"/>
    <w:rsid w:val="0E44761A"/>
    <w:rsid w:val="0E522478"/>
    <w:rsid w:val="0E9536B4"/>
    <w:rsid w:val="0EA72AB0"/>
    <w:rsid w:val="0EA939F5"/>
    <w:rsid w:val="0EB80AA1"/>
    <w:rsid w:val="0ED03701"/>
    <w:rsid w:val="0EE335D6"/>
    <w:rsid w:val="0EE93F6B"/>
    <w:rsid w:val="0EFD3ADD"/>
    <w:rsid w:val="0F1A552C"/>
    <w:rsid w:val="0F1C0D51"/>
    <w:rsid w:val="0F343A11"/>
    <w:rsid w:val="0F4F464D"/>
    <w:rsid w:val="0F783566"/>
    <w:rsid w:val="0F985604"/>
    <w:rsid w:val="0F986588"/>
    <w:rsid w:val="0F99436A"/>
    <w:rsid w:val="0FA61457"/>
    <w:rsid w:val="0FCE0A0E"/>
    <w:rsid w:val="0FE245B9"/>
    <w:rsid w:val="0FE72F84"/>
    <w:rsid w:val="1013543E"/>
    <w:rsid w:val="104B2879"/>
    <w:rsid w:val="104E4D9E"/>
    <w:rsid w:val="106B2467"/>
    <w:rsid w:val="106C4543"/>
    <w:rsid w:val="10997F64"/>
    <w:rsid w:val="10B10E4D"/>
    <w:rsid w:val="10DA2E42"/>
    <w:rsid w:val="10E32DA0"/>
    <w:rsid w:val="10FE16CE"/>
    <w:rsid w:val="110E4923"/>
    <w:rsid w:val="11127C78"/>
    <w:rsid w:val="11355168"/>
    <w:rsid w:val="113F7B5B"/>
    <w:rsid w:val="115F5264"/>
    <w:rsid w:val="11885C1B"/>
    <w:rsid w:val="11C04819"/>
    <w:rsid w:val="11DE6CDB"/>
    <w:rsid w:val="121317A8"/>
    <w:rsid w:val="12140F0D"/>
    <w:rsid w:val="122B02E8"/>
    <w:rsid w:val="12852A34"/>
    <w:rsid w:val="12891903"/>
    <w:rsid w:val="12920605"/>
    <w:rsid w:val="13065313"/>
    <w:rsid w:val="131B6FE3"/>
    <w:rsid w:val="13234B93"/>
    <w:rsid w:val="133D1432"/>
    <w:rsid w:val="137A49F6"/>
    <w:rsid w:val="13BA708A"/>
    <w:rsid w:val="13D55CE7"/>
    <w:rsid w:val="13E44278"/>
    <w:rsid w:val="142D134D"/>
    <w:rsid w:val="1444756D"/>
    <w:rsid w:val="14962F4C"/>
    <w:rsid w:val="14EB67B2"/>
    <w:rsid w:val="14F31271"/>
    <w:rsid w:val="15026250"/>
    <w:rsid w:val="156A515A"/>
    <w:rsid w:val="15834CDA"/>
    <w:rsid w:val="15B10584"/>
    <w:rsid w:val="16116EBB"/>
    <w:rsid w:val="162211FF"/>
    <w:rsid w:val="163D5D24"/>
    <w:rsid w:val="168A0717"/>
    <w:rsid w:val="168E1061"/>
    <w:rsid w:val="169068AD"/>
    <w:rsid w:val="16D73CD7"/>
    <w:rsid w:val="172336F7"/>
    <w:rsid w:val="172371C9"/>
    <w:rsid w:val="173E276D"/>
    <w:rsid w:val="17467934"/>
    <w:rsid w:val="17674466"/>
    <w:rsid w:val="17832558"/>
    <w:rsid w:val="17964D24"/>
    <w:rsid w:val="17AB69B6"/>
    <w:rsid w:val="17B54CA0"/>
    <w:rsid w:val="17BB0EE1"/>
    <w:rsid w:val="17DB1880"/>
    <w:rsid w:val="17E05D55"/>
    <w:rsid w:val="17FA2733"/>
    <w:rsid w:val="181E0883"/>
    <w:rsid w:val="182C0780"/>
    <w:rsid w:val="185746D0"/>
    <w:rsid w:val="18792E34"/>
    <w:rsid w:val="18832A90"/>
    <w:rsid w:val="188939AF"/>
    <w:rsid w:val="18942B22"/>
    <w:rsid w:val="18B631E6"/>
    <w:rsid w:val="18BE4BE7"/>
    <w:rsid w:val="18C005E9"/>
    <w:rsid w:val="18E1618B"/>
    <w:rsid w:val="190025BE"/>
    <w:rsid w:val="19040056"/>
    <w:rsid w:val="192A15FF"/>
    <w:rsid w:val="19442E62"/>
    <w:rsid w:val="195038B9"/>
    <w:rsid w:val="19560462"/>
    <w:rsid w:val="1958458A"/>
    <w:rsid w:val="19610114"/>
    <w:rsid w:val="199805DF"/>
    <w:rsid w:val="1A193898"/>
    <w:rsid w:val="1A2676CF"/>
    <w:rsid w:val="1A361B65"/>
    <w:rsid w:val="1A3A36FD"/>
    <w:rsid w:val="1A5E2817"/>
    <w:rsid w:val="1A85323E"/>
    <w:rsid w:val="1A97033C"/>
    <w:rsid w:val="1AA15A84"/>
    <w:rsid w:val="1AB51CA0"/>
    <w:rsid w:val="1ABE2FCA"/>
    <w:rsid w:val="1B014ED9"/>
    <w:rsid w:val="1B057D25"/>
    <w:rsid w:val="1B223887"/>
    <w:rsid w:val="1B24031D"/>
    <w:rsid w:val="1B2F56C7"/>
    <w:rsid w:val="1B5058D9"/>
    <w:rsid w:val="1B547053"/>
    <w:rsid w:val="1B5766F9"/>
    <w:rsid w:val="1B897A78"/>
    <w:rsid w:val="1B911913"/>
    <w:rsid w:val="1B9A7933"/>
    <w:rsid w:val="1B9C2C1F"/>
    <w:rsid w:val="1BA806A3"/>
    <w:rsid w:val="1BBF734B"/>
    <w:rsid w:val="1BD15EBE"/>
    <w:rsid w:val="1BD454A2"/>
    <w:rsid w:val="1BDA596A"/>
    <w:rsid w:val="1C00754D"/>
    <w:rsid w:val="1C2B5F8D"/>
    <w:rsid w:val="1C3F6137"/>
    <w:rsid w:val="1C5A28F1"/>
    <w:rsid w:val="1C5E13F5"/>
    <w:rsid w:val="1C703D59"/>
    <w:rsid w:val="1C8222CE"/>
    <w:rsid w:val="1CA46645"/>
    <w:rsid w:val="1CA47D1C"/>
    <w:rsid w:val="1CC307F6"/>
    <w:rsid w:val="1CC321D0"/>
    <w:rsid w:val="1D0E6C1D"/>
    <w:rsid w:val="1D2863D2"/>
    <w:rsid w:val="1DB96AA1"/>
    <w:rsid w:val="1DC36929"/>
    <w:rsid w:val="1DD23398"/>
    <w:rsid w:val="1DD42DE5"/>
    <w:rsid w:val="1DFC3614"/>
    <w:rsid w:val="1DFC6A08"/>
    <w:rsid w:val="1E1A3A67"/>
    <w:rsid w:val="1E331F19"/>
    <w:rsid w:val="1E431159"/>
    <w:rsid w:val="1E483B5E"/>
    <w:rsid w:val="1E6C0716"/>
    <w:rsid w:val="1E7658B0"/>
    <w:rsid w:val="1E810C58"/>
    <w:rsid w:val="1E8B6F89"/>
    <w:rsid w:val="1E9B7E09"/>
    <w:rsid w:val="1EE11FAE"/>
    <w:rsid w:val="1F463768"/>
    <w:rsid w:val="1F527B7E"/>
    <w:rsid w:val="1F665E84"/>
    <w:rsid w:val="1F6F38E8"/>
    <w:rsid w:val="1FB03999"/>
    <w:rsid w:val="1FD52267"/>
    <w:rsid w:val="2006569B"/>
    <w:rsid w:val="201A6AA2"/>
    <w:rsid w:val="202671F5"/>
    <w:rsid w:val="202A3A9F"/>
    <w:rsid w:val="203640AA"/>
    <w:rsid w:val="203653F9"/>
    <w:rsid w:val="205C2A93"/>
    <w:rsid w:val="20750080"/>
    <w:rsid w:val="207E7627"/>
    <w:rsid w:val="20902480"/>
    <w:rsid w:val="2095356D"/>
    <w:rsid w:val="20CA6331"/>
    <w:rsid w:val="20D91CA5"/>
    <w:rsid w:val="20F949F4"/>
    <w:rsid w:val="21025404"/>
    <w:rsid w:val="212D58FD"/>
    <w:rsid w:val="21433A4E"/>
    <w:rsid w:val="216845BC"/>
    <w:rsid w:val="21684B6B"/>
    <w:rsid w:val="21732CAC"/>
    <w:rsid w:val="217714C3"/>
    <w:rsid w:val="218374C3"/>
    <w:rsid w:val="21851F32"/>
    <w:rsid w:val="219B60F3"/>
    <w:rsid w:val="21B4312E"/>
    <w:rsid w:val="21D815BF"/>
    <w:rsid w:val="21DC472B"/>
    <w:rsid w:val="21EB35A7"/>
    <w:rsid w:val="21EF0F84"/>
    <w:rsid w:val="22081E0C"/>
    <w:rsid w:val="22184DD7"/>
    <w:rsid w:val="22664E80"/>
    <w:rsid w:val="22804C66"/>
    <w:rsid w:val="228D770A"/>
    <w:rsid w:val="228F6B12"/>
    <w:rsid w:val="2293118C"/>
    <w:rsid w:val="22B96473"/>
    <w:rsid w:val="22BE0032"/>
    <w:rsid w:val="22D46B70"/>
    <w:rsid w:val="22DE1DF7"/>
    <w:rsid w:val="22DE7E18"/>
    <w:rsid w:val="22E61BBA"/>
    <w:rsid w:val="22EC1FB4"/>
    <w:rsid w:val="22F229B7"/>
    <w:rsid w:val="23105E48"/>
    <w:rsid w:val="23201BFB"/>
    <w:rsid w:val="232747E6"/>
    <w:rsid w:val="232B2E80"/>
    <w:rsid w:val="23391A15"/>
    <w:rsid w:val="23565C98"/>
    <w:rsid w:val="23650D50"/>
    <w:rsid w:val="238B494E"/>
    <w:rsid w:val="23A40F3E"/>
    <w:rsid w:val="23E82B9A"/>
    <w:rsid w:val="23F9698F"/>
    <w:rsid w:val="24495F69"/>
    <w:rsid w:val="24601335"/>
    <w:rsid w:val="2480455C"/>
    <w:rsid w:val="24893516"/>
    <w:rsid w:val="24BC54B5"/>
    <w:rsid w:val="24D17DC7"/>
    <w:rsid w:val="24EE164B"/>
    <w:rsid w:val="24F15A35"/>
    <w:rsid w:val="24FC4CAC"/>
    <w:rsid w:val="250D7858"/>
    <w:rsid w:val="25127C49"/>
    <w:rsid w:val="2572298C"/>
    <w:rsid w:val="258030A4"/>
    <w:rsid w:val="25CB340F"/>
    <w:rsid w:val="2600755C"/>
    <w:rsid w:val="2604179A"/>
    <w:rsid w:val="261153E4"/>
    <w:rsid w:val="26132AEF"/>
    <w:rsid w:val="26213D5F"/>
    <w:rsid w:val="26222155"/>
    <w:rsid w:val="26380051"/>
    <w:rsid w:val="26420664"/>
    <w:rsid w:val="26576B61"/>
    <w:rsid w:val="269019E7"/>
    <w:rsid w:val="269845B2"/>
    <w:rsid w:val="2698542D"/>
    <w:rsid w:val="26B456AC"/>
    <w:rsid w:val="26B90BE6"/>
    <w:rsid w:val="270C5C8A"/>
    <w:rsid w:val="274C2C5C"/>
    <w:rsid w:val="278A1CD8"/>
    <w:rsid w:val="27944E47"/>
    <w:rsid w:val="279C384B"/>
    <w:rsid w:val="27B2293C"/>
    <w:rsid w:val="27F32BFE"/>
    <w:rsid w:val="27FE7307"/>
    <w:rsid w:val="28163D56"/>
    <w:rsid w:val="283C0C91"/>
    <w:rsid w:val="28456055"/>
    <w:rsid w:val="284F509B"/>
    <w:rsid w:val="285A3381"/>
    <w:rsid w:val="2864569F"/>
    <w:rsid w:val="286D283D"/>
    <w:rsid w:val="28741C9B"/>
    <w:rsid w:val="2887365D"/>
    <w:rsid w:val="28917B1E"/>
    <w:rsid w:val="28C704C6"/>
    <w:rsid w:val="28D12E97"/>
    <w:rsid w:val="28D403CB"/>
    <w:rsid w:val="28DF6436"/>
    <w:rsid w:val="28E76ABE"/>
    <w:rsid w:val="28F74CEE"/>
    <w:rsid w:val="29164390"/>
    <w:rsid w:val="294E686A"/>
    <w:rsid w:val="296D762D"/>
    <w:rsid w:val="29C74D79"/>
    <w:rsid w:val="29CA4341"/>
    <w:rsid w:val="29E82951"/>
    <w:rsid w:val="29EC404B"/>
    <w:rsid w:val="2A233FA7"/>
    <w:rsid w:val="2A3108AE"/>
    <w:rsid w:val="2A673FCC"/>
    <w:rsid w:val="2A745BF1"/>
    <w:rsid w:val="2A7553D0"/>
    <w:rsid w:val="2A801EB3"/>
    <w:rsid w:val="2A975090"/>
    <w:rsid w:val="2A9E0FF9"/>
    <w:rsid w:val="2AA14827"/>
    <w:rsid w:val="2ABB39B9"/>
    <w:rsid w:val="2B05200B"/>
    <w:rsid w:val="2B3B46BA"/>
    <w:rsid w:val="2B5747F6"/>
    <w:rsid w:val="2B6759E0"/>
    <w:rsid w:val="2B6A07F4"/>
    <w:rsid w:val="2B6A7A49"/>
    <w:rsid w:val="2B790951"/>
    <w:rsid w:val="2B871159"/>
    <w:rsid w:val="2B9E01B5"/>
    <w:rsid w:val="2BB0347F"/>
    <w:rsid w:val="2BF91D99"/>
    <w:rsid w:val="2C59085F"/>
    <w:rsid w:val="2C926FD9"/>
    <w:rsid w:val="2CA30F0A"/>
    <w:rsid w:val="2CC85B50"/>
    <w:rsid w:val="2CCE7042"/>
    <w:rsid w:val="2CD63431"/>
    <w:rsid w:val="2D1303DA"/>
    <w:rsid w:val="2D692D2C"/>
    <w:rsid w:val="2D711EA8"/>
    <w:rsid w:val="2D8B540A"/>
    <w:rsid w:val="2DB20783"/>
    <w:rsid w:val="2DC52D25"/>
    <w:rsid w:val="2DDD0A50"/>
    <w:rsid w:val="2DE1586C"/>
    <w:rsid w:val="2E464CE9"/>
    <w:rsid w:val="2E5A5B6A"/>
    <w:rsid w:val="2E5D7C44"/>
    <w:rsid w:val="2EA023EC"/>
    <w:rsid w:val="2EAF3A1B"/>
    <w:rsid w:val="2F2F3D10"/>
    <w:rsid w:val="2F45665C"/>
    <w:rsid w:val="2F482642"/>
    <w:rsid w:val="2F5B3D24"/>
    <w:rsid w:val="2F5D6EBD"/>
    <w:rsid w:val="2F5E0999"/>
    <w:rsid w:val="2F855D69"/>
    <w:rsid w:val="2F994164"/>
    <w:rsid w:val="2FC05C1B"/>
    <w:rsid w:val="30281A5F"/>
    <w:rsid w:val="304E2566"/>
    <w:rsid w:val="3055112C"/>
    <w:rsid w:val="30634FB8"/>
    <w:rsid w:val="306530F8"/>
    <w:rsid w:val="306A067E"/>
    <w:rsid w:val="30CB472B"/>
    <w:rsid w:val="30DB5C8D"/>
    <w:rsid w:val="30F36046"/>
    <w:rsid w:val="31100129"/>
    <w:rsid w:val="314232F4"/>
    <w:rsid w:val="31463809"/>
    <w:rsid w:val="315F0FFB"/>
    <w:rsid w:val="317547D9"/>
    <w:rsid w:val="318D1827"/>
    <w:rsid w:val="31B22A91"/>
    <w:rsid w:val="31DB3714"/>
    <w:rsid w:val="324501A4"/>
    <w:rsid w:val="32452D21"/>
    <w:rsid w:val="325A7B32"/>
    <w:rsid w:val="32793D96"/>
    <w:rsid w:val="327C56A4"/>
    <w:rsid w:val="329478DE"/>
    <w:rsid w:val="32B93D34"/>
    <w:rsid w:val="32BB79E5"/>
    <w:rsid w:val="333B7D32"/>
    <w:rsid w:val="33417771"/>
    <w:rsid w:val="3346360F"/>
    <w:rsid w:val="33616095"/>
    <w:rsid w:val="336845CD"/>
    <w:rsid w:val="336A5FE6"/>
    <w:rsid w:val="33704FDD"/>
    <w:rsid w:val="33753BFE"/>
    <w:rsid w:val="339E1DE9"/>
    <w:rsid w:val="33A0673C"/>
    <w:rsid w:val="33D74F3C"/>
    <w:rsid w:val="33FF6024"/>
    <w:rsid w:val="340143FC"/>
    <w:rsid w:val="34140DDD"/>
    <w:rsid w:val="341D0004"/>
    <w:rsid w:val="34371F24"/>
    <w:rsid w:val="3445610C"/>
    <w:rsid w:val="34666BC2"/>
    <w:rsid w:val="34863AE3"/>
    <w:rsid w:val="348C37A0"/>
    <w:rsid w:val="3490352C"/>
    <w:rsid w:val="349F2F2E"/>
    <w:rsid w:val="34AF19EA"/>
    <w:rsid w:val="34D0051F"/>
    <w:rsid w:val="34E37396"/>
    <w:rsid w:val="350A18EC"/>
    <w:rsid w:val="350D4791"/>
    <w:rsid w:val="35206188"/>
    <w:rsid w:val="355A3FE4"/>
    <w:rsid w:val="357A2742"/>
    <w:rsid w:val="357D5326"/>
    <w:rsid w:val="35B90B74"/>
    <w:rsid w:val="36181FCF"/>
    <w:rsid w:val="361D1950"/>
    <w:rsid w:val="362531C3"/>
    <w:rsid w:val="36264599"/>
    <w:rsid w:val="363125D1"/>
    <w:rsid w:val="3658366E"/>
    <w:rsid w:val="365939ED"/>
    <w:rsid w:val="365C2032"/>
    <w:rsid w:val="3668661C"/>
    <w:rsid w:val="36692263"/>
    <w:rsid w:val="36836F20"/>
    <w:rsid w:val="368540EF"/>
    <w:rsid w:val="3699119D"/>
    <w:rsid w:val="369A6197"/>
    <w:rsid w:val="36A13140"/>
    <w:rsid w:val="36A23173"/>
    <w:rsid w:val="36CD5E72"/>
    <w:rsid w:val="36DA101B"/>
    <w:rsid w:val="36E02361"/>
    <w:rsid w:val="36F171B6"/>
    <w:rsid w:val="36F35F2E"/>
    <w:rsid w:val="3710146B"/>
    <w:rsid w:val="3775068A"/>
    <w:rsid w:val="3784717D"/>
    <w:rsid w:val="379204E6"/>
    <w:rsid w:val="37A347D5"/>
    <w:rsid w:val="37CA248B"/>
    <w:rsid w:val="37CD0FE6"/>
    <w:rsid w:val="37F01D45"/>
    <w:rsid w:val="38176AFE"/>
    <w:rsid w:val="382A22B2"/>
    <w:rsid w:val="38326D34"/>
    <w:rsid w:val="38396430"/>
    <w:rsid w:val="385A6834"/>
    <w:rsid w:val="385B3F74"/>
    <w:rsid w:val="385C3D27"/>
    <w:rsid w:val="385C56F9"/>
    <w:rsid w:val="38832A27"/>
    <w:rsid w:val="38892AF5"/>
    <w:rsid w:val="388D26E3"/>
    <w:rsid w:val="38920C8A"/>
    <w:rsid w:val="38BC268A"/>
    <w:rsid w:val="38E562D5"/>
    <w:rsid w:val="39023CAA"/>
    <w:rsid w:val="39131F49"/>
    <w:rsid w:val="3979708B"/>
    <w:rsid w:val="399320A5"/>
    <w:rsid w:val="399C29B4"/>
    <w:rsid w:val="39B17E77"/>
    <w:rsid w:val="39B96A06"/>
    <w:rsid w:val="39E6652F"/>
    <w:rsid w:val="39E81185"/>
    <w:rsid w:val="39EB305B"/>
    <w:rsid w:val="39F715CF"/>
    <w:rsid w:val="3A1E4B2F"/>
    <w:rsid w:val="3A265EF0"/>
    <w:rsid w:val="3A301195"/>
    <w:rsid w:val="3A393ECE"/>
    <w:rsid w:val="3A396491"/>
    <w:rsid w:val="3A3E6B83"/>
    <w:rsid w:val="3A4F7967"/>
    <w:rsid w:val="3A593CCD"/>
    <w:rsid w:val="3AA419F6"/>
    <w:rsid w:val="3AAC78AE"/>
    <w:rsid w:val="3ACF3163"/>
    <w:rsid w:val="3AE816FA"/>
    <w:rsid w:val="3B2E64A8"/>
    <w:rsid w:val="3B396205"/>
    <w:rsid w:val="3B3A3B37"/>
    <w:rsid w:val="3B482282"/>
    <w:rsid w:val="3B6444FA"/>
    <w:rsid w:val="3B891426"/>
    <w:rsid w:val="3BB83B9E"/>
    <w:rsid w:val="3BC920E7"/>
    <w:rsid w:val="3BDD3EE1"/>
    <w:rsid w:val="3BF9510B"/>
    <w:rsid w:val="3BFD7A7B"/>
    <w:rsid w:val="3C0009D2"/>
    <w:rsid w:val="3C0865AC"/>
    <w:rsid w:val="3C0C1F26"/>
    <w:rsid w:val="3C1D0F0B"/>
    <w:rsid w:val="3C32798E"/>
    <w:rsid w:val="3C824C71"/>
    <w:rsid w:val="3CC46D74"/>
    <w:rsid w:val="3D03166E"/>
    <w:rsid w:val="3D060675"/>
    <w:rsid w:val="3D2B2570"/>
    <w:rsid w:val="3D337443"/>
    <w:rsid w:val="3D3B491D"/>
    <w:rsid w:val="3DED2769"/>
    <w:rsid w:val="3E073A04"/>
    <w:rsid w:val="3E084640"/>
    <w:rsid w:val="3E642221"/>
    <w:rsid w:val="3E707EF9"/>
    <w:rsid w:val="3E78140D"/>
    <w:rsid w:val="3E840183"/>
    <w:rsid w:val="3EB13DEF"/>
    <w:rsid w:val="3EB8059F"/>
    <w:rsid w:val="3ECA1E96"/>
    <w:rsid w:val="3ECE71D1"/>
    <w:rsid w:val="3F036323"/>
    <w:rsid w:val="3F2F533B"/>
    <w:rsid w:val="3F3142E6"/>
    <w:rsid w:val="3F6F14A7"/>
    <w:rsid w:val="3F725FDD"/>
    <w:rsid w:val="3FDE6E3C"/>
    <w:rsid w:val="3FE06134"/>
    <w:rsid w:val="3FE7025D"/>
    <w:rsid w:val="4005581A"/>
    <w:rsid w:val="40436137"/>
    <w:rsid w:val="405F2DC2"/>
    <w:rsid w:val="407377BA"/>
    <w:rsid w:val="409F6192"/>
    <w:rsid w:val="40A0162E"/>
    <w:rsid w:val="40C96C06"/>
    <w:rsid w:val="40DA34BF"/>
    <w:rsid w:val="41142C22"/>
    <w:rsid w:val="411A6811"/>
    <w:rsid w:val="411D4666"/>
    <w:rsid w:val="414355EF"/>
    <w:rsid w:val="414C3277"/>
    <w:rsid w:val="4169641E"/>
    <w:rsid w:val="417E4116"/>
    <w:rsid w:val="41B115C6"/>
    <w:rsid w:val="41CF1305"/>
    <w:rsid w:val="41D810F2"/>
    <w:rsid w:val="41D97D2A"/>
    <w:rsid w:val="41DF2367"/>
    <w:rsid w:val="4207293C"/>
    <w:rsid w:val="420D010B"/>
    <w:rsid w:val="425F532A"/>
    <w:rsid w:val="42890834"/>
    <w:rsid w:val="42D43C3B"/>
    <w:rsid w:val="42DE560A"/>
    <w:rsid w:val="42FC6DD5"/>
    <w:rsid w:val="430F1E14"/>
    <w:rsid w:val="432663A8"/>
    <w:rsid w:val="43366A97"/>
    <w:rsid w:val="436B38FF"/>
    <w:rsid w:val="43C35D2E"/>
    <w:rsid w:val="43E73522"/>
    <w:rsid w:val="43FA17C4"/>
    <w:rsid w:val="4408014F"/>
    <w:rsid w:val="4416128A"/>
    <w:rsid w:val="44260E43"/>
    <w:rsid w:val="444369AE"/>
    <w:rsid w:val="44717BEC"/>
    <w:rsid w:val="44757BE5"/>
    <w:rsid w:val="44790D66"/>
    <w:rsid w:val="447C7DB8"/>
    <w:rsid w:val="44882FA6"/>
    <w:rsid w:val="44AE32C4"/>
    <w:rsid w:val="44AF2997"/>
    <w:rsid w:val="44D0769C"/>
    <w:rsid w:val="44D10F08"/>
    <w:rsid w:val="44EF5B45"/>
    <w:rsid w:val="45152733"/>
    <w:rsid w:val="45196281"/>
    <w:rsid w:val="45262730"/>
    <w:rsid w:val="454E088D"/>
    <w:rsid w:val="45566F84"/>
    <w:rsid w:val="456A3573"/>
    <w:rsid w:val="456F184D"/>
    <w:rsid w:val="45814168"/>
    <w:rsid w:val="45981D9A"/>
    <w:rsid w:val="45AB4B96"/>
    <w:rsid w:val="45BC0F84"/>
    <w:rsid w:val="45C866AB"/>
    <w:rsid w:val="45CE6F6E"/>
    <w:rsid w:val="45F20097"/>
    <w:rsid w:val="46075FBC"/>
    <w:rsid w:val="46127413"/>
    <w:rsid w:val="461A367F"/>
    <w:rsid w:val="46256844"/>
    <w:rsid w:val="462B1958"/>
    <w:rsid w:val="465B420E"/>
    <w:rsid w:val="46831285"/>
    <w:rsid w:val="46873A18"/>
    <w:rsid w:val="46A35AC4"/>
    <w:rsid w:val="46D453BF"/>
    <w:rsid w:val="46E456F4"/>
    <w:rsid w:val="46FD0416"/>
    <w:rsid w:val="46FE1CBA"/>
    <w:rsid w:val="470F2F12"/>
    <w:rsid w:val="47267649"/>
    <w:rsid w:val="479A5E9E"/>
    <w:rsid w:val="47B2712D"/>
    <w:rsid w:val="47B643AF"/>
    <w:rsid w:val="4827198A"/>
    <w:rsid w:val="48506620"/>
    <w:rsid w:val="48566892"/>
    <w:rsid w:val="485C5110"/>
    <w:rsid w:val="492753C8"/>
    <w:rsid w:val="49306D18"/>
    <w:rsid w:val="49355E7E"/>
    <w:rsid w:val="49453CF2"/>
    <w:rsid w:val="495058CA"/>
    <w:rsid w:val="498024AD"/>
    <w:rsid w:val="49A01C66"/>
    <w:rsid w:val="49B21B96"/>
    <w:rsid w:val="49B93CA4"/>
    <w:rsid w:val="49CB4F3A"/>
    <w:rsid w:val="4A0A3EF0"/>
    <w:rsid w:val="4A223B30"/>
    <w:rsid w:val="4A296478"/>
    <w:rsid w:val="4A3A15A2"/>
    <w:rsid w:val="4A53055A"/>
    <w:rsid w:val="4A574BE4"/>
    <w:rsid w:val="4A5B2B80"/>
    <w:rsid w:val="4A727A78"/>
    <w:rsid w:val="4AA544C7"/>
    <w:rsid w:val="4AB41522"/>
    <w:rsid w:val="4ABA46CC"/>
    <w:rsid w:val="4AC55DC3"/>
    <w:rsid w:val="4ACF4CCA"/>
    <w:rsid w:val="4AF172C6"/>
    <w:rsid w:val="4B090963"/>
    <w:rsid w:val="4B191E5A"/>
    <w:rsid w:val="4B5E5093"/>
    <w:rsid w:val="4B6416AC"/>
    <w:rsid w:val="4B6B5AED"/>
    <w:rsid w:val="4BB92F16"/>
    <w:rsid w:val="4BC858E1"/>
    <w:rsid w:val="4BD53A79"/>
    <w:rsid w:val="4BED72FA"/>
    <w:rsid w:val="4C2435C2"/>
    <w:rsid w:val="4C2C2F49"/>
    <w:rsid w:val="4C487C8E"/>
    <w:rsid w:val="4C7109ED"/>
    <w:rsid w:val="4C7B17A9"/>
    <w:rsid w:val="4C86467A"/>
    <w:rsid w:val="4C9E2320"/>
    <w:rsid w:val="4CAA0F86"/>
    <w:rsid w:val="4CB103A5"/>
    <w:rsid w:val="4CC7468F"/>
    <w:rsid w:val="4CCC5116"/>
    <w:rsid w:val="4CE32841"/>
    <w:rsid w:val="4CF95D96"/>
    <w:rsid w:val="4CFB2A46"/>
    <w:rsid w:val="4D5872A8"/>
    <w:rsid w:val="4D5B3BE3"/>
    <w:rsid w:val="4DB04C00"/>
    <w:rsid w:val="4DB27561"/>
    <w:rsid w:val="4DBC1338"/>
    <w:rsid w:val="4DD53D2C"/>
    <w:rsid w:val="4DD74835"/>
    <w:rsid w:val="4DDC0974"/>
    <w:rsid w:val="4E177A36"/>
    <w:rsid w:val="4E264A76"/>
    <w:rsid w:val="4E2811C1"/>
    <w:rsid w:val="4E2E48E6"/>
    <w:rsid w:val="4E346F6B"/>
    <w:rsid w:val="4E395361"/>
    <w:rsid w:val="4E5C3B9F"/>
    <w:rsid w:val="4EA26BAD"/>
    <w:rsid w:val="4EB427B7"/>
    <w:rsid w:val="4EB64BE5"/>
    <w:rsid w:val="4EC23D9B"/>
    <w:rsid w:val="4ED56553"/>
    <w:rsid w:val="4ED90BDE"/>
    <w:rsid w:val="4F0D05BB"/>
    <w:rsid w:val="4F204EA0"/>
    <w:rsid w:val="4F5A6C2B"/>
    <w:rsid w:val="4F8973B5"/>
    <w:rsid w:val="4F9D7139"/>
    <w:rsid w:val="4F9F25AD"/>
    <w:rsid w:val="4FDC042E"/>
    <w:rsid w:val="4FDE34DB"/>
    <w:rsid w:val="4FF46323"/>
    <w:rsid w:val="50077F6B"/>
    <w:rsid w:val="501A7FAB"/>
    <w:rsid w:val="502B7281"/>
    <w:rsid w:val="50870380"/>
    <w:rsid w:val="509A274C"/>
    <w:rsid w:val="50A03EC2"/>
    <w:rsid w:val="50AD0459"/>
    <w:rsid w:val="50CE288A"/>
    <w:rsid w:val="50DA389F"/>
    <w:rsid w:val="50F52621"/>
    <w:rsid w:val="511C28B1"/>
    <w:rsid w:val="51561B25"/>
    <w:rsid w:val="519E2E43"/>
    <w:rsid w:val="51A2618B"/>
    <w:rsid w:val="51A91693"/>
    <w:rsid w:val="51B35F11"/>
    <w:rsid w:val="51C241D0"/>
    <w:rsid w:val="51D639C5"/>
    <w:rsid w:val="51DB3BFC"/>
    <w:rsid w:val="51E02CA1"/>
    <w:rsid w:val="52174A8E"/>
    <w:rsid w:val="522137FC"/>
    <w:rsid w:val="523739C4"/>
    <w:rsid w:val="5238251A"/>
    <w:rsid w:val="523F55BD"/>
    <w:rsid w:val="524945E0"/>
    <w:rsid w:val="524F68EE"/>
    <w:rsid w:val="526256FC"/>
    <w:rsid w:val="526E0980"/>
    <w:rsid w:val="527D7CDC"/>
    <w:rsid w:val="529A4BB9"/>
    <w:rsid w:val="52AC54E9"/>
    <w:rsid w:val="52AE5B2A"/>
    <w:rsid w:val="52B41F84"/>
    <w:rsid w:val="52E12819"/>
    <w:rsid w:val="52F50A7C"/>
    <w:rsid w:val="532D7D44"/>
    <w:rsid w:val="533C0EFD"/>
    <w:rsid w:val="53820E6E"/>
    <w:rsid w:val="539237A8"/>
    <w:rsid w:val="53AE23AF"/>
    <w:rsid w:val="53BB5426"/>
    <w:rsid w:val="53CF3B2D"/>
    <w:rsid w:val="53D25C66"/>
    <w:rsid w:val="53E2564E"/>
    <w:rsid w:val="540D217C"/>
    <w:rsid w:val="5418080E"/>
    <w:rsid w:val="5437065B"/>
    <w:rsid w:val="54B10067"/>
    <w:rsid w:val="54C73908"/>
    <w:rsid w:val="5509228D"/>
    <w:rsid w:val="55096180"/>
    <w:rsid w:val="5511199F"/>
    <w:rsid w:val="55371600"/>
    <w:rsid w:val="553D5DCC"/>
    <w:rsid w:val="5545606B"/>
    <w:rsid w:val="554B6BE7"/>
    <w:rsid w:val="557B1259"/>
    <w:rsid w:val="55910B33"/>
    <w:rsid w:val="55B56B9A"/>
    <w:rsid w:val="55D57FAD"/>
    <w:rsid w:val="55E34077"/>
    <w:rsid w:val="55EE277E"/>
    <w:rsid w:val="55FD1321"/>
    <w:rsid w:val="564B17AD"/>
    <w:rsid w:val="56531636"/>
    <w:rsid w:val="56690F72"/>
    <w:rsid w:val="566D291D"/>
    <w:rsid w:val="56757B73"/>
    <w:rsid w:val="56A74A73"/>
    <w:rsid w:val="56A80A69"/>
    <w:rsid w:val="56B82CCF"/>
    <w:rsid w:val="56B82F61"/>
    <w:rsid w:val="56E46A55"/>
    <w:rsid w:val="56F851FD"/>
    <w:rsid w:val="57164C9A"/>
    <w:rsid w:val="573C6127"/>
    <w:rsid w:val="574A4ACB"/>
    <w:rsid w:val="57623C50"/>
    <w:rsid w:val="57A4438D"/>
    <w:rsid w:val="57C50601"/>
    <w:rsid w:val="57C8303B"/>
    <w:rsid w:val="58031D54"/>
    <w:rsid w:val="58040F81"/>
    <w:rsid w:val="58234879"/>
    <w:rsid w:val="582D7A56"/>
    <w:rsid w:val="582E3DB7"/>
    <w:rsid w:val="583841C7"/>
    <w:rsid w:val="583D7468"/>
    <w:rsid w:val="58591CFB"/>
    <w:rsid w:val="58720A79"/>
    <w:rsid w:val="58777B6B"/>
    <w:rsid w:val="58807EF3"/>
    <w:rsid w:val="58942D0E"/>
    <w:rsid w:val="589449E9"/>
    <w:rsid w:val="589D1C70"/>
    <w:rsid w:val="58E47593"/>
    <w:rsid w:val="59283EF6"/>
    <w:rsid w:val="592A161A"/>
    <w:rsid w:val="593834AB"/>
    <w:rsid w:val="593D0D94"/>
    <w:rsid w:val="594F091C"/>
    <w:rsid w:val="596C6959"/>
    <w:rsid w:val="59936544"/>
    <w:rsid w:val="59960975"/>
    <w:rsid w:val="5A070161"/>
    <w:rsid w:val="5A0C6408"/>
    <w:rsid w:val="5A2C6A85"/>
    <w:rsid w:val="5A483147"/>
    <w:rsid w:val="5A630AAC"/>
    <w:rsid w:val="5A674C37"/>
    <w:rsid w:val="5A705403"/>
    <w:rsid w:val="5A763942"/>
    <w:rsid w:val="5A9D3D7E"/>
    <w:rsid w:val="5AB0227C"/>
    <w:rsid w:val="5AD469B1"/>
    <w:rsid w:val="5AFF4BB9"/>
    <w:rsid w:val="5B141248"/>
    <w:rsid w:val="5B456BB6"/>
    <w:rsid w:val="5B484AF5"/>
    <w:rsid w:val="5B4B2044"/>
    <w:rsid w:val="5B780C46"/>
    <w:rsid w:val="5B84616F"/>
    <w:rsid w:val="5B9605C5"/>
    <w:rsid w:val="5B9E18EC"/>
    <w:rsid w:val="5BA552DC"/>
    <w:rsid w:val="5C154C4C"/>
    <w:rsid w:val="5C253D56"/>
    <w:rsid w:val="5C262101"/>
    <w:rsid w:val="5C455859"/>
    <w:rsid w:val="5C4E654B"/>
    <w:rsid w:val="5C5F62EF"/>
    <w:rsid w:val="5C7510CD"/>
    <w:rsid w:val="5C912BE3"/>
    <w:rsid w:val="5C95122B"/>
    <w:rsid w:val="5CAD4884"/>
    <w:rsid w:val="5CBF71B1"/>
    <w:rsid w:val="5CF05DAE"/>
    <w:rsid w:val="5CFB0C07"/>
    <w:rsid w:val="5D2173B1"/>
    <w:rsid w:val="5D3A5E06"/>
    <w:rsid w:val="5D413630"/>
    <w:rsid w:val="5D4875C8"/>
    <w:rsid w:val="5D651AE2"/>
    <w:rsid w:val="5D850150"/>
    <w:rsid w:val="5D8A7638"/>
    <w:rsid w:val="5DAA65AB"/>
    <w:rsid w:val="5DC31D99"/>
    <w:rsid w:val="5DE1392A"/>
    <w:rsid w:val="5DE34BDE"/>
    <w:rsid w:val="5E01107A"/>
    <w:rsid w:val="5E04373B"/>
    <w:rsid w:val="5E07236C"/>
    <w:rsid w:val="5EB409B5"/>
    <w:rsid w:val="5EFB49FA"/>
    <w:rsid w:val="5F152BAD"/>
    <w:rsid w:val="5F5F637F"/>
    <w:rsid w:val="5F86592D"/>
    <w:rsid w:val="5F8B4AFF"/>
    <w:rsid w:val="5FC41442"/>
    <w:rsid w:val="5FD10DCB"/>
    <w:rsid w:val="5FDC7041"/>
    <w:rsid w:val="5FE67D70"/>
    <w:rsid w:val="5FF77FA5"/>
    <w:rsid w:val="60290B63"/>
    <w:rsid w:val="602B34D5"/>
    <w:rsid w:val="602E7A9F"/>
    <w:rsid w:val="60312B67"/>
    <w:rsid w:val="6074187F"/>
    <w:rsid w:val="60912756"/>
    <w:rsid w:val="60952D28"/>
    <w:rsid w:val="60A55D94"/>
    <w:rsid w:val="60A62B38"/>
    <w:rsid w:val="60B12E0A"/>
    <w:rsid w:val="60CF2C4B"/>
    <w:rsid w:val="60E4182B"/>
    <w:rsid w:val="60EC28B2"/>
    <w:rsid w:val="60F4093D"/>
    <w:rsid w:val="60F803A6"/>
    <w:rsid w:val="611228E6"/>
    <w:rsid w:val="61171068"/>
    <w:rsid w:val="611C4963"/>
    <w:rsid w:val="612468D7"/>
    <w:rsid w:val="61291F3A"/>
    <w:rsid w:val="61395156"/>
    <w:rsid w:val="61396B35"/>
    <w:rsid w:val="61441499"/>
    <w:rsid w:val="614535D0"/>
    <w:rsid w:val="614A1D6B"/>
    <w:rsid w:val="61782D43"/>
    <w:rsid w:val="618C11DD"/>
    <w:rsid w:val="61981B46"/>
    <w:rsid w:val="61B803CC"/>
    <w:rsid w:val="61CE02F5"/>
    <w:rsid w:val="61D76657"/>
    <w:rsid w:val="61E2234E"/>
    <w:rsid w:val="61F521BF"/>
    <w:rsid w:val="62182B89"/>
    <w:rsid w:val="622B3C05"/>
    <w:rsid w:val="62347084"/>
    <w:rsid w:val="62385EB2"/>
    <w:rsid w:val="62532D2A"/>
    <w:rsid w:val="6266049C"/>
    <w:rsid w:val="62E17AD3"/>
    <w:rsid w:val="62E84B41"/>
    <w:rsid w:val="62EB69F5"/>
    <w:rsid w:val="631B6A32"/>
    <w:rsid w:val="632372E2"/>
    <w:rsid w:val="63602B6F"/>
    <w:rsid w:val="636D187D"/>
    <w:rsid w:val="63704AA0"/>
    <w:rsid w:val="639037BD"/>
    <w:rsid w:val="63955626"/>
    <w:rsid w:val="639A29D6"/>
    <w:rsid w:val="63A326D7"/>
    <w:rsid w:val="63AF46B2"/>
    <w:rsid w:val="63FA4E35"/>
    <w:rsid w:val="64002DAD"/>
    <w:rsid w:val="642106DC"/>
    <w:rsid w:val="644272DD"/>
    <w:rsid w:val="6444540F"/>
    <w:rsid w:val="644C5E33"/>
    <w:rsid w:val="64672957"/>
    <w:rsid w:val="647C3104"/>
    <w:rsid w:val="64814DB2"/>
    <w:rsid w:val="64C75B97"/>
    <w:rsid w:val="64D60DEB"/>
    <w:rsid w:val="64F529CE"/>
    <w:rsid w:val="650731D5"/>
    <w:rsid w:val="6507732E"/>
    <w:rsid w:val="650811B3"/>
    <w:rsid w:val="653278C9"/>
    <w:rsid w:val="65580855"/>
    <w:rsid w:val="656E3A25"/>
    <w:rsid w:val="657150B5"/>
    <w:rsid w:val="657A6291"/>
    <w:rsid w:val="658B690F"/>
    <w:rsid w:val="65B867DF"/>
    <w:rsid w:val="65BF12B0"/>
    <w:rsid w:val="65C8564A"/>
    <w:rsid w:val="65D01CA4"/>
    <w:rsid w:val="65D84025"/>
    <w:rsid w:val="65EB3B52"/>
    <w:rsid w:val="66836D84"/>
    <w:rsid w:val="66D7166C"/>
    <w:rsid w:val="66DF5B0C"/>
    <w:rsid w:val="66E576A6"/>
    <w:rsid w:val="67322884"/>
    <w:rsid w:val="674016B7"/>
    <w:rsid w:val="674C0D7F"/>
    <w:rsid w:val="67994F11"/>
    <w:rsid w:val="679959F1"/>
    <w:rsid w:val="67EE1212"/>
    <w:rsid w:val="68051E46"/>
    <w:rsid w:val="680C64D9"/>
    <w:rsid w:val="689D636C"/>
    <w:rsid w:val="68FB741C"/>
    <w:rsid w:val="68FE7534"/>
    <w:rsid w:val="690657B7"/>
    <w:rsid w:val="69451493"/>
    <w:rsid w:val="69454F3D"/>
    <w:rsid w:val="694D6B91"/>
    <w:rsid w:val="696E4B77"/>
    <w:rsid w:val="69787364"/>
    <w:rsid w:val="6A08317A"/>
    <w:rsid w:val="6A0B109E"/>
    <w:rsid w:val="6A296760"/>
    <w:rsid w:val="6A4D247F"/>
    <w:rsid w:val="6A5403A3"/>
    <w:rsid w:val="6A5A3008"/>
    <w:rsid w:val="6A680824"/>
    <w:rsid w:val="6AB41C9E"/>
    <w:rsid w:val="6AF8455E"/>
    <w:rsid w:val="6AFC5555"/>
    <w:rsid w:val="6B18737C"/>
    <w:rsid w:val="6B316644"/>
    <w:rsid w:val="6B4E7447"/>
    <w:rsid w:val="6B77663D"/>
    <w:rsid w:val="6B982E6E"/>
    <w:rsid w:val="6B9F3150"/>
    <w:rsid w:val="6BB067FC"/>
    <w:rsid w:val="6BB97B21"/>
    <w:rsid w:val="6BFC0A2B"/>
    <w:rsid w:val="6BFD3BA6"/>
    <w:rsid w:val="6BFF3853"/>
    <w:rsid w:val="6C0A2BCB"/>
    <w:rsid w:val="6C1D33CF"/>
    <w:rsid w:val="6C2A1D6A"/>
    <w:rsid w:val="6C536F1C"/>
    <w:rsid w:val="6C940966"/>
    <w:rsid w:val="6CA27B31"/>
    <w:rsid w:val="6CE92017"/>
    <w:rsid w:val="6D083509"/>
    <w:rsid w:val="6D2859F3"/>
    <w:rsid w:val="6D290303"/>
    <w:rsid w:val="6D307FAA"/>
    <w:rsid w:val="6D342C1B"/>
    <w:rsid w:val="6D7029CB"/>
    <w:rsid w:val="6D756F7A"/>
    <w:rsid w:val="6DD92D71"/>
    <w:rsid w:val="6DF10010"/>
    <w:rsid w:val="6E1463F6"/>
    <w:rsid w:val="6E3D0836"/>
    <w:rsid w:val="6E473252"/>
    <w:rsid w:val="6E9F10C2"/>
    <w:rsid w:val="6E9F7404"/>
    <w:rsid w:val="6EC15401"/>
    <w:rsid w:val="6EE7495D"/>
    <w:rsid w:val="6F1C39DD"/>
    <w:rsid w:val="6F2B7AD2"/>
    <w:rsid w:val="6F2E4FB2"/>
    <w:rsid w:val="6F33127D"/>
    <w:rsid w:val="6F7371E2"/>
    <w:rsid w:val="6F77741F"/>
    <w:rsid w:val="6F7B7BFB"/>
    <w:rsid w:val="6FA7590D"/>
    <w:rsid w:val="6FAF2BA5"/>
    <w:rsid w:val="6FD1564A"/>
    <w:rsid w:val="6FDB24CF"/>
    <w:rsid w:val="6FDF77A4"/>
    <w:rsid w:val="6FE20656"/>
    <w:rsid w:val="6FEE6816"/>
    <w:rsid w:val="6FF93B5E"/>
    <w:rsid w:val="701A38DE"/>
    <w:rsid w:val="702150D3"/>
    <w:rsid w:val="703D3DE8"/>
    <w:rsid w:val="70D95CC0"/>
    <w:rsid w:val="70F54D51"/>
    <w:rsid w:val="71041F18"/>
    <w:rsid w:val="71347619"/>
    <w:rsid w:val="71434EFB"/>
    <w:rsid w:val="714A4C3E"/>
    <w:rsid w:val="71534093"/>
    <w:rsid w:val="71703D88"/>
    <w:rsid w:val="71B6743B"/>
    <w:rsid w:val="71CA0EA2"/>
    <w:rsid w:val="7235290E"/>
    <w:rsid w:val="727D47D3"/>
    <w:rsid w:val="728C179D"/>
    <w:rsid w:val="728F4F87"/>
    <w:rsid w:val="72953F6B"/>
    <w:rsid w:val="729555F1"/>
    <w:rsid w:val="72AF1D2B"/>
    <w:rsid w:val="72B064D2"/>
    <w:rsid w:val="72B6457B"/>
    <w:rsid w:val="72DE209A"/>
    <w:rsid w:val="72E7307C"/>
    <w:rsid w:val="72F41A12"/>
    <w:rsid w:val="73861FDD"/>
    <w:rsid w:val="739058B8"/>
    <w:rsid w:val="73EB4619"/>
    <w:rsid w:val="73ED4D3B"/>
    <w:rsid w:val="741C7219"/>
    <w:rsid w:val="742279C0"/>
    <w:rsid w:val="742E02C7"/>
    <w:rsid w:val="747C6D2D"/>
    <w:rsid w:val="747E6866"/>
    <w:rsid w:val="749201DD"/>
    <w:rsid w:val="74AF3C36"/>
    <w:rsid w:val="74C3035B"/>
    <w:rsid w:val="74FB74FB"/>
    <w:rsid w:val="75044639"/>
    <w:rsid w:val="750C2D00"/>
    <w:rsid w:val="752A1B95"/>
    <w:rsid w:val="754570C7"/>
    <w:rsid w:val="756D21F8"/>
    <w:rsid w:val="757B56AB"/>
    <w:rsid w:val="75B83196"/>
    <w:rsid w:val="75D30A8C"/>
    <w:rsid w:val="75D4251F"/>
    <w:rsid w:val="75F60389"/>
    <w:rsid w:val="76290EC8"/>
    <w:rsid w:val="762E3E26"/>
    <w:rsid w:val="764C1CBB"/>
    <w:rsid w:val="766807F9"/>
    <w:rsid w:val="767009DE"/>
    <w:rsid w:val="76761EA1"/>
    <w:rsid w:val="767F7181"/>
    <w:rsid w:val="76DD695E"/>
    <w:rsid w:val="76DD7712"/>
    <w:rsid w:val="76F841A0"/>
    <w:rsid w:val="76FF7B62"/>
    <w:rsid w:val="77205C24"/>
    <w:rsid w:val="77253FC0"/>
    <w:rsid w:val="773F789F"/>
    <w:rsid w:val="774E46A1"/>
    <w:rsid w:val="775E737B"/>
    <w:rsid w:val="77664657"/>
    <w:rsid w:val="777840ED"/>
    <w:rsid w:val="77AB4A6A"/>
    <w:rsid w:val="77CA47C4"/>
    <w:rsid w:val="77CC5393"/>
    <w:rsid w:val="77DE2010"/>
    <w:rsid w:val="77DF221C"/>
    <w:rsid w:val="77F0682B"/>
    <w:rsid w:val="780C1FFB"/>
    <w:rsid w:val="78152F3E"/>
    <w:rsid w:val="781F337D"/>
    <w:rsid w:val="784B3257"/>
    <w:rsid w:val="784C6FF1"/>
    <w:rsid w:val="785127B7"/>
    <w:rsid w:val="78540262"/>
    <w:rsid w:val="7867413B"/>
    <w:rsid w:val="7877291C"/>
    <w:rsid w:val="789416B9"/>
    <w:rsid w:val="78A35BBD"/>
    <w:rsid w:val="78A90429"/>
    <w:rsid w:val="79067261"/>
    <w:rsid w:val="7934616B"/>
    <w:rsid w:val="7977103C"/>
    <w:rsid w:val="79AB05DD"/>
    <w:rsid w:val="79B333D6"/>
    <w:rsid w:val="79C82152"/>
    <w:rsid w:val="79D772E8"/>
    <w:rsid w:val="79F46514"/>
    <w:rsid w:val="7A136C84"/>
    <w:rsid w:val="7A321326"/>
    <w:rsid w:val="7A693D4C"/>
    <w:rsid w:val="7A6F65C9"/>
    <w:rsid w:val="7A800591"/>
    <w:rsid w:val="7AC918E8"/>
    <w:rsid w:val="7AE51AFD"/>
    <w:rsid w:val="7AE70A79"/>
    <w:rsid w:val="7AF773ED"/>
    <w:rsid w:val="7B0740BD"/>
    <w:rsid w:val="7B2F1526"/>
    <w:rsid w:val="7B471B4D"/>
    <w:rsid w:val="7B655492"/>
    <w:rsid w:val="7BB377E7"/>
    <w:rsid w:val="7BD0542A"/>
    <w:rsid w:val="7BE15B07"/>
    <w:rsid w:val="7BFD3530"/>
    <w:rsid w:val="7C0605E2"/>
    <w:rsid w:val="7C276839"/>
    <w:rsid w:val="7C297B25"/>
    <w:rsid w:val="7C2D07B6"/>
    <w:rsid w:val="7C3132A9"/>
    <w:rsid w:val="7C4575F6"/>
    <w:rsid w:val="7C5D2423"/>
    <w:rsid w:val="7C614C23"/>
    <w:rsid w:val="7C674BCC"/>
    <w:rsid w:val="7C935C70"/>
    <w:rsid w:val="7CA4031C"/>
    <w:rsid w:val="7CA619DC"/>
    <w:rsid w:val="7CC25875"/>
    <w:rsid w:val="7CD070E1"/>
    <w:rsid w:val="7CD15C4F"/>
    <w:rsid w:val="7CE14399"/>
    <w:rsid w:val="7CE268DD"/>
    <w:rsid w:val="7CFF3054"/>
    <w:rsid w:val="7D0D01FA"/>
    <w:rsid w:val="7D1D68F0"/>
    <w:rsid w:val="7D461353"/>
    <w:rsid w:val="7D723979"/>
    <w:rsid w:val="7D8232B2"/>
    <w:rsid w:val="7D9B3F29"/>
    <w:rsid w:val="7DAE6E38"/>
    <w:rsid w:val="7DC04D7D"/>
    <w:rsid w:val="7DE81F75"/>
    <w:rsid w:val="7E047A0B"/>
    <w:rsid w:val="7E3B1286"/>
    <w:rsid w:val="7E4875AF"/>
    <w:rsid w:val="7E4D54F8"/>
    <w:rsid w:val="7E580707"/>
    <w:rsid w:val="7E587636"/>
    <w:rsid w:val="7E5C01E4"/>
    <w:rsid w:val="7E66025A"/>
    <w:rsid w:val="7E7C6CB5"/>
    <w:rsid w:val="7E86499F"/>
    <w:rsid w:val="7E971B11"/>
    <w:rsid w:val="7EA005ED"/>
    <w:rsid w:val="7EDE3D60"/>
    <w:rsid w:val="7EE21E91"/>
    <w:rsid w:val="7F0277CB"/>
    <w:rsid w:val="7F0E4BCD"/>
    <w:rsid w:val="7F2629A6"/>
    <w:rsid w:val="7F510709"/>
    <w:rsid w:val="7F540F19"/>
    <w:rsid w:val="7F5B76F1"/>
    <w:rsid w:val="7FB719AD"/>
    <w:rsid w:val="7FB76193"/>
    <w:rsid w:val="7FDB23F7"/>
    <w:rsid w:val="7FFE1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Lines="50" w:afterLines="50"/>
      <w:ind w:firstLine="0" w:firstLineChars="0"/>
      <w:outlineLvl w:val="0"/>
    </w:pPr>
    <w:rPr>
      <w:b/>
      <w:kern w:val="44"/>
      <w:sz w:val="30"/>
    </w:rPr>
  </w:style>
  <w:style w:type="paragraph" w:styleId="3">
    <w:name w:val="heading 2"/>
    <w:basedOn w:val="1"/>
    <w:next w:val="1"/>
    <w:link w:val="29"/>
    <w:unhideWhenUsed/>
    <w:qFormat/>
    <w:uiPriority w:val="0"/>
    <w:pPr>
      <w:keepNext/>
      <w:keepLines/>
      <w:spacing w:beforeLines="50" w:afterLines="50"/>
      <w:ind w:firstLine="0" w:firstLineChars="0"/>
      <w:outlineLvl w:val="1"/>
    </w:pPr>
    <w:rPr>
      <w:rFonts w:eastAsia="宋体"/>
      <w:b/>
      <w:sz w:val="28"/>
    </w:rPr>
  </w:style>
  <w:style w:type="paragraph" w:styleId="4">
    <w:name w:val="heading 3"/>
    <w:basedOn w:val="1"/>
    <w:next w:val="1"/>
    <w:unhideWhenUsed/>
    <w:qFormat/>
    <w:uiPriority w:val="0"/>
    <w:pPr>
      <w:keepNext/>
      <w:keepLines/>
      <w:ind w:firstLine="0" w:firstLineChars="0"/>
      <w:outlineLvl w:val="2"/>
    </w:pPr>
    <w:rPr>
      <w:b/>
      <w:sz w:val="28"/>
    </w:rPr>
  </w:style>
  <w:style w:type="paragraph" w:styleId="5">
    <w:name w:val="heading 4"/>
    <w:basedOn w:val="1"/>
    <w:next w:val="1"/>
    <w:unhideWhenUsed/>
    <w:qFormat/>
    <w:uiPriority w:val="0"/>
    <w:pPr>
      <w:keepNext/>
      <w:keepLines/>
      <w:ind w:firstLine="0" w:firstLineChars="0"/>
      <w:outlineLvl w:val="3"/>
    </w:pPr>
    <w:rPr>
      <w:rFonts w:eastAsia="宋体" w:cs="Times New Roman"/>
      <w:b/>
      <w:bCs/>
      <w:szCs w:val="28"/>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6">
    <w:name w:val="Note Heading"/>
    <w:basedOn w:val="1"/>
    <w:next w:val="1"/>
    <w:qFormat/>
    <w:uiPriority w:val="0"/>
    <w:pPr>
      <w:jc w:val="center"/>
    </w:pPr>
    <w:rPr>
      <w:sz w:val="21"/>
    </w:rPr>
  </w:style>
  <w:style w:type="paragraph" w:styleId="7">
    <w:name w:val="Normal Indent"/>
    <w:basedOn w:val="1"/>
    <w:next w:val="1"/>
    <w:qFormat/>
    <w:uiPriority w:val="0"/>
  </w:style>
  <w:style w:type="paragraph" w:styleId="8">
    <w:name w:val="annotation text"/>
    <w:basedOn w:val="1"/>
    <w:qFormat/>
    <w:uiPriority w:val="0"/>
  </w:style>
  <w:style w:type="paragraph" w:styleId="9">
    <w:name w:val="Body Text"/>
    <w:basedOn w:val="1"/>
    <w:qFormat/>
    <w:uiPriority w:val="0"/>
    <w:pPr>
      <w:spacing w:line="400" w:lineRule="exact"/>
    </w:pPr>
    <w:rPr>
      <w:sz w:val="24"/>
    </w:rPr>
  </w:style>
  <w:style w:type="paragraph" w:styleId="10">
    <w:name w:val="Body Text Indent"/>
    <w:basedOn w:val="1"/>
    <w:qFormat/>
    <w:uiPriority w:val="0"/>
    <w:pPr>
      <w:ind w:firstLine="480"/>
    </w:pPr>
  </w:style>
  <w:style w:type="paragraph" w:styleId="11">
    <w:name w:val="Block Text"/>
    <w:basedOn w:val="1"/>
    <w:qFormat/>
    <w:uiPriority w:val="0"/>
    <w:pPr>
      <w:snapToGrid w:val="0"/>
      <w:spacing w:line="408" w:lineRule="auto"/>
      <w:ind w:left="-113" w:right="-510" w:firstLine="510"/>
    </w:pPr>
    <w:rPr>
      <w:szCs w:val="20"/>
    </w:rPr>
  </w:style>
  <w:style w:type="paragraph" w:styleId="12">
    <w:name w:val="toc 3"/>
    <w:basedOn w:val="1"/>
    <w:next w:val="1"/>
    <w:qFormat/>
    <w:uiPriority w:val="0"/>
    <w:pPr>
      <w:snapToGrid w:val="0"/>
      <w:spacing w:line="240" w:lineRule="auto"/>
      <w:ind w:left="960" w:leftChars="400"/>
    </w:pPr>
  </w:style>
  <w:style w:type="paragraph" w:styleId="13">
    <w:name w:val="Plain Text"/>
    <w:basedOn w:val="1"/>
    <w:qFormat/>
    <w:uiPriority w:val="0"/>
    <w:pPr>
      <w:adjustRightInd w:val="0"/>
      <w:spacing w:line="480" w:lineRule="exact"/>
      <w:textAlignment w:val="baseline"/>
    </w:pPr>
    <w:rPr>
      <w:rFonts w:ascii="宋体" w:hAnsi="Courier New" w:cs="Courier New"/>
      <w:spacing w:val="-2"/>
      <w:kern w:val="0"/>
      <w:szCs w:val="21"/>
    </w:rPr>
  </w:style>
  <w:style w:type="paragraph" w:styleId="14">
    <w:name w:val="Balloon Text"/>
    <w:basedOn w:val="1"/>
    <w:link w:val="42"/>
    <w:qFormat/>
    <w:uiPriority w:val="0"/>
    <w:pPr>
      <w:spacing w:line="240" w:lineRule="auto"/>
    </w:pPr>
    <w:rPr>
      <w:sz w:val="18"/>
      <w:szCs w:val="18"/>
    </w:rPr>
  </w:style>
  <w:style w:type="paragraph" w:styleId="15">
    <w:name w:val="footer"/>
    <w:basedOn w:val="1"/>
    <w:qFormat/>
    <w:uiPriority w:val="0"/>
    <w:pPr>
      <w:tabs>
        <w:tab w:val="center" w:pos="4153"/>
        <w:tab w:val="right" w:pos="8306"/>
      </w:tabs>
      <w:snapToGrid w:val="0"/>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7">
    <w:name w:val="toc 1"/>
    <w:basedOn w:val="1"/>
    <w:next w:val="1"/>
    <w:qFormat/>
    <w:uiPriority w:val="0"/>
    <w:pPr>
      <w:snapToGrid w:val="0"/>
      <w:spacing w:line="240" w:lineRule="auto"/>
    </w:pPr>
    <w:rPr>
      <w:b/>
    </w:rPr>
  </w:style>
  <w:style w:type="paragraph" w:styleId="18">
    <w:name w:val="toc 2"/>
    <w:basedOn w:val="1"/>
    <w:next w:val="1"/>
    <w:qFormat/>
    <w:uiPriority w:val="0"/>
    <w:pPr>
      <w:snapToGrid w:val="0"/>
      <w:spacing w:line="240" w:lineRule="auto"/>
      <w:ind w:left="480" w:leftChars="200"/>
    </w:pPr>
  </w:style>
  <w:style w:type="paragraph" w:styleId="19">
    <w:name w:val="Normal (Web)"/>
    <w:basedOn w:val="1"/>
    <w:unhideWhenUsed/>
    <w:qFormat/>
    <w:uiPriority w:val="99"/>
    <w:pPr>
      <w:widowControl/>
      <w:spacing w:before="100" w:beforeAutospacing="1" w:after="100" w:afterAutospacing="1"/>
    </w:pPr>
    <w:rPr>
      <w:rFonts w:ascii="宋体" w:hAnsi="宋体" w:eastAsia="宋体" w:cs="宋体"/>
      <w:kern w:val="0"/>
    </w:rPr>
  </w:style>
  <w:style w:type="paragraph" w:styleId="20">
    <w:name w:val="Body Text First Indent 2"/>
    <w:basedOn w:val="1"/>
    <w:next w:val="1"/>
    <w:qFormat/>
    <w:uiPriority w:val="0"/>
    <w:pPr>
      <w:spacing w:after="120"/>
      <w:ind w:left="420" w:leftChars="200" w:firstLine="420"/>
    </w:pPr>
    <w:rPr>
      <w:rFonts w:eastAsia="宋体"/>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qFormat/>
    <w:uiPriority w:val="0"/>
    <w:rPr>
      <w:color w:val="800080"/>
      <w:u w:val="none"/>
    </w:rPr>
  </w:style>
  <w:style w:type="character" w:styleId="26">
    <w:name w:val="Emphasis"/>
    <w:basedOn w:val="23"/>
    <w:qFormat/>
    <w:uiPriority w:val="0"/>
    <w:rPr>
      <w:rFonts w:ascii="Times New Roman" w:hAnsi="Times New Roman" w:eastAsia="宋体" w:cs="Times New Roman"/>
      <w:color w:val="CC0000"/>
    </w:rPr>
  </w:style>
  <w:style w:type="character" w:styleId="27">
    <w:name w:val="Hyperlink"/>
    <w:basedOn w:val="23"/>
    <w:qFormat/>
    <w:uiPriority w:val="0"/>
    <w:rPr>
      <w:color w:val="0000FF"/>
      <w:u w:val="single"/>
    </w:rPr>
  </w:style>
  <w:style w:type="character" w:styleId="28">
    <w:name w:val="annotation reference"/>
    <w:qFormat/>
    <w:uiPriority w:val="0"/>
    <w:rPr>
      <w:sz w:val="21"/>
      <w:szCs w:val="21"/>
    </w:rPr>
  </w:style>
  <w:style w:type="character" w:customStyle="1" w:styleId="29">
    <w:name w:val="标题 2 字符"/>
    <w:link w:val="3"/>
    <w:qFormat/>
    <w:uiPriority w:val="0"/>
    <w:rPr>
      <w:rFonts w:ascii="Times New Roman" w:hAnsi="Times New Roman" w:eastAsia="宋体"/>
      <w:b/>
      <w:sz w:val="28"/>
    </w:rPr>
  </w:style>
  <w:style w:type="character" w:customStyle="1" w:styleId="30">
    <w:name w:val="so-ask-best"/>
    <w:qFormat/>
    <w:uiPriority w:val="0"/>
  </w:style>
  <w:style w:type="paragraph" w:customStyle="1" w:styleId="31">
    <w:name w:val="中文报告书样式"/>
    <w:basedOn w:val="1"/>
    <w:qFormat/>
    <w:uiPriority w:val="0"/>
    <w:pPr>
      <w:adjustRightInd w:val="0"/>
      <w:spacing w:line="480" w:lineRule="atLeast"/>
      <w:ind w:firstLine="482"/>
      <w:textAlignment w:val="baseline"/>
    </w:pPr>
    <w:rPr>
      <w:kern w:val="24"/>
    </w:rPr>
  </w:style>
  <w:style w:type="paragraph" w:customStyle="1" w:styleId="32">
    <w:name w:val="报告表正文"/>
    <w:basedOn w:val="1"/>
    <w:qFormat/>
    <w:uiPriority w:val="0"/>
    <w:pPr>
      <w:ind w:firstLine="200"/>
    </w:pPr>
    <w:rPr>
      <w:rFonts w:eastAsia="楷体_GB2312"/>
    </w:rPr>
  </w:style>
  <w:style w:type="paragraph" w:customStyle="1" w:styleId="33">
    <w:name w:val="表内格式"/>
    <w:basedOn w:val="1"/>
    <w:qFormat/>
    <w:uiPriority w:val="0"/>
    <w:pPr>
      <w:spacing w:line="240" w:lineRule="exact"/>
      <w:jc w:val="center"/>
    </w:pPr>
    <w:rPr>
      <w:rFonts w:ascii="宋体" w:hAnsi="宋体"/>
      <w:sz w:val="21"/>
    </w:rPr>
  </w:style>
  <w:style w:type="paragraph" w:customStyle="1" w:styleId="34">
    <w:name w:val="Table Paragraph"/>
    <w:basedOn w:val="1"/>
    <w:qFormat/>
    <w:uiPriority w:val="1"/>
    <w:pPr>
      <w:jc w:val="center"/>
    </w:pPr>
    <w:rPr>
      <w:rFonts w:ascii="宋体" w:hAnsi="宋体" w:eastAsia="宋体" w:cs="宋体"/>
    </w:rPr>
  </w:style>
  <w:style w:type="paragraph" w:customStyle="1" w:styleId="35">
    <w:name w:val="三同时样式"/>
    <w:basedOn w:val="1"/>
    <w:qFormat/>
    <w:uiPriority w:val="0"/>
    <w:pPr>
      <w:spacing w:line="240" w:lineRule="auto"/>
      <w:ind w:firstLine="0" w:firstLineChars="0"/>
      <w:jc w:val="center"/>
    </w:pPr>
    <w:rPr>
      <w:b/>
      <w:sz w:val="18"/>
      <w:szCs w:val="18"/>
    </w:rPr>
  </w:style>
  <w:style w:type="paragraph" w:customStyle="1" w:styleId="36">
    <w:name w:val="列出段落1"/>
    <w:basedOn w:val="1"/>
    <w:unhideWhenUsed/>
    <w:qFormat/>
    <w:uiPriority w:val="99"/>
    <w:pPr>
      <w:ind w:firstLine="420"/>
    </w:pPr>
  </w:style>
  <w:style w:type="paragraph" w:customStyle="1" w:styleId="37">
    <w:name w:val="封面 下内容"/>
    <w:basedOn w:val="1"/>
    <w:qFormat/>
    <w:uiPriority w:val="0"/>
    <w:pPr>
      <w:spacing w:line="240" w:lineRule="auto"/>
      <w:ind w:firstLine="0" w:firstLineChars="0"/>
      <w:jc w:val="right"/>
    </w:pPr>
    <w:rPr>
      <w:sz w:val="28"/>
    </w:rPr>
  </w:style>
  <w:style w:type="character" w:customStyle="1" w:styleId="38">
    <w:name w:val="fontstyle01"/>
    <w:basedOn w:val="23"/>
    <w:qFormat/>
    <w:uiPriority w:val="0"/>
    <w:rPr>
      <w:rFonts w:ascii="华文宋体" w:hAnsi="华文宋体" w:eastAsia="华文宋体" w:cs="华文宋体"/>
      <w:color w:val="000000"/>
      <w:sz w:val="18"/>
      <w:szCs w:val="18"/>
    </w:rPr>
  </w:style>
  <w:style w:type="character" w:customStyle="1" w:styleId="39">
    <w:name w:val="fontstyle21"/>
    <w:basedOn w:val="23"/>
    <w:qFormat/>
    <w:uiPriority w:val="0"/>
    <w:rPr>
      <w:rFonts w:hint="default" w:ascii="Times New Roman" w:hAnsi="Times New Roman" w:cs="Times New Roman"/>
      <w:b/>
      <w:color w:val="000000"/>
      <w:sz w:val="32"/>
      <w:szCs w:val="32"/>
    </w:rPr>
  </w:style>
  <w:style w:type="character" w:customStyle="1" w:styleId="40">
    <w:name w:val="fontstyle11"/>
    <w:basedOn w:val="23"/>
    <w:qFormat/>
    <w:uiPriority w:val="0"/>
    <w:rPr>
      <w:rFonts w:hint="default" w:ascii="Times New Roman" w:hAnsi="Times New Roman" w:cs="Times New Roman"/>
      <w:color w:val="000000"/>
      <w:sz w:val="24"/>
      <w:szCs w:val="24"/>
    </w:rPr>
  </w:style>
  <w:style w:type="character" w:customStyle="1" w:styleId="41">
    <w:name w:val="fontstyle31"/>
    <w:basedOn w:val="23"/>
    <w:qFormat/>
    <w:uiPriority w:val="0"/>
    <w:rPr>
      <w:rFonts w:hint="default" w:ascii="Times New Roman" w:hAnsi="Times New Roman" w:cs="Times New Roman"/>
      <w:b/>
      <w:color w:val="000000"/>
      <w:sz w:val="24"/>
      <w:szCs w:val="24"/>
    </w:rPr>
  </w:style>
  <w:style w:type="character" w:customStyle="1" w:styleId="42">
    <w:name w:val="批注框文本 字符"/>
    <w:basedOn w:val="23"/>
    <w:link w:val="14"/>
    <w:qFormat/>
    <w:uiPriority w:val="0"/>
    <w:rPr>
      <w:rFonts w:eastAsiaTheme="minorEastAsia" w:cstheme="minorBidi"/>
      <w:kern w:val="2"/>
      <w:sz w:val="18"/>
      <w:szCs w:val="18"/>
    </w:rPr>
  </w:style>
  <w:style w:type="paragraph" w:customStyle="1" w:styleId="43">
    <w:name w:val="报告正文"/>
    <w:basedOn w:val="1"/>
    <w:qFormat/>
    <w:uiPriority w:val="0"/>
    <w:pPr>
      <w:spacing w:line="520" w:lineRule="exact"/>
    </w:pPr>
    <w:rPr>
      <w:color w:val="000000"/>
      <w:kern w:val="0"/>
      <w:sz w:val="28"/>
    </w:rPr>
  </w:style>
  <w:style w:type="paragraph" w:customStyle="1" w:styleId="44">
    <w:name w:val="5正文"/>
    <w:qFormat/>
    <w:uiPriority w:val="0"/>
    <w:pPr>
      <w:widowControl w:val="0"/>
      <w:spacing w:line="520" w:lineRule="exact"/>
      <w:ind w:firstLine="200" w:firstLineChars="200"/>
      <w:jc w:val="both"/>
    </w:pPr>
    <w:rPr>
      <w:rFonts w:ascii="Calibri" w:hAnsi="Calibri" w:eastAsia="宋体" w:cs="Times New Roman"/>
      <w:kern w:val="2"/>
      <w:sz w:val="24"/>
      <w:szCs w:val="22"/>
      <w:lang w:val="en-US" w:eastAsia="zh-CN" w:bidi="ar-SA"/>
    </w:rPr>
  </w:style>
  <w:style w:type="paragraph" w:customStyle="1" w:styleId="45">
    <w:name w:val="No Spacing"/>
    <w:qFormat/>
    <w:uiPriority w:val="0"/>
    <w:pPr>
      <w:widowControl w:val="0"/>
      <w:spacing w:line="500" w:lineRule="exact"/>
      <w:ind w:firstLine="200" w:firstLineChars="200"/>
      <w:jc w:val="both"/>
    </w:pPr>
    <w:rPr>
      <w:rFonts w:ascii="Times New Roman" w:hAnsi="Times New Roman" w:eastAsia="宋体" w:cs="Times New Roman"/>
      <w:sz w:val="21"/>
      <w:szCs w:val="24"/>
      <w:lang w:val="en-US" w:eastAsia="zh-CN" w:bidi="ar-SA"/>
    </w:rPr>
  </w:style>
  <w:style w:type="character" w:customStyle="1" w:styleId="46">
    <w:name w:val="style41"/>
    <w:qFormat/>
    <w:uiPriority w:val="99"/>
    <w:rPr>
      <w:sz w:val="23"/>
      <w:szCs w:val="23"/>
    </w:rPr>
  </w:style>
  <w:style w:type="paragraph" w:customStyle="1" w:styleId="47">
    <w:name w:val="段落"/>
    <w:basedOn w:val="1"/>
    <w:qFormat/>
    <w:uiPriority w:val="0"/>
    <w:pPr>
      <w:ind w:firstLine="578"/>
    </w:pPr>
    <w:rPr>
      <w:kern w:val="0"/>
      <w:sz w:val="28"/>
      <w:szCs w:val="28"/>
    </w:rPr>
  </w:style>
  <w:style w:type="paragraph" w:customStyle="1" w:styleId="48">
    <w:name w:val="正文11"/>
    <w:basedOn w:val="1"/>
    <w:qFormat/>
    <w:uiPriority w:val="0"/>
    <w:pPr>
      <w:jc w:val="center"/>
    </w:pPr>
    <w:rPr>
      <w:rFonts w:ascii="Calibri" w:hAnsi="Calibri"/>
      <w:kern w:val="0"/>
      <w:sz w:val="20"/>
      <w:szCs w:val="21"/>
    </w:rPr>
  </w:style>
  <w:style w:type="character" w:customStyle="1" w:styleId="49">
    <w:name w:val="pass-placeholder"/>
    <w:basedOn w:val="23"/>
    <w:qFormat/>
    <w:uiPriority w:val="0"/>
  </w:style>
  <w:style w:type="character" w:customStyle="1" w:styleId="50">
    <w:name w:val="pass-item-timer2"/>
    <w:basedOn w:val="23"/>
    <w:qFormat/>
    <w:uiPriority w:val="0"/>
  </w:style>
  <w:style w:type="character" w:customStyle="1" w:styleId="51">
    <w:name w:val="pass-clearbtn-smsverifycode"/>
    <w:basedOn w:val="23"/>
    <w:qFormat/>
    <w:uiPriority w:val="0"/>
  </w:style>
  <w:style w:type="character" w:customStyle="1" w:styleId="52">
    <w:name w:val="tang-pass-qrcode-list-gx"/>
    <w:basedOn w:val="23"/>
    <w:qFormat/>
    <w:uiPriority w:val="0"/>
  </w:style>
  <w:style w:type="character" w:customStyle="1" w:styleId="53">
    <w:name w:val="pass-item-time-timing2"/>
    <w:basedOn w:val="23"/>
    <w:qFormat/>
    <w:uiPriority w:val="0"/>
  </w:style>
  <w:style w:type="character" w:customStyle="1" w:styleId="54">
    <w:name w:val="pass-clearbtn-verifycode"/>
    <w:basedOn w:val="23"/>
    <w:qFormat/>
    <w:uiPriority w:val="0"/>
  </w:style>
  <w:style w:type="character" w:customStyle="1" w:styleId="55">
    <w:name w:val="open"/>
    <w:basedOn w:val="23"/>
    <w:qFormat/>
    <w:uiPriority w:val="0"/>
  </w:style>
  <w:style w:type="character" w:customStyle="1" w:styleId="56">
    <w:name w:val="tang-pass-qrcode-list-aq"/>
    <w:basedOn w:val="23"/>
    <w:qFormat/>
    <w:uiPriority w:val="0"/>
  </w:style>
  <w:style w:type="character" w:customStyle="1" w:styleId="57">
    <w:name w:val="pass-placeholder-smsphone"/>
    <w:basedOn w:val="23"/>
    <w:qFormat/>
    <w:uiPriority w:val="0"/>
  </w:style>
  <w:style w:type="character" w:customStyle="1" w:styleId="58">
    <w:name w:val="pass-placeholder-smsverifycode"/>
    <w:basedOn w:val="23"/>
    <w:qFormat/>
    <w:uiPriority w:val="0"/>
  </w:style>
  <w:style w:type="character" w:customStyle="1" w:styleId="59">
    <w:name w:val="tang-pass-qrcode-list-bj"/>
    <w:basedOn w:val="23"/>
    <w:qFormat/>
    <w:uiPriority w:val="0"/>
  </w:style>
  <w:style w:type="paragraph" w:customStyle="1" w:styleId="60">
    <w:name w:val="第三层标题"/>
    <w:basedOn w:val="1"/>
    <w:next w:val="1"/>
    <w:qFormat/>
    <w:uiPriority w:val="0"/>
    <w:pPr>
      <w:ind w:firstLine="200" w:firstLineChars="200"/>
    </w:pPr>
    <w:rPr>
      <w:rFonts w:ascii="宋体" w:hAnsi="宋体" w:cs="宋体"/>
      <w:sz w:val="24"/>
      <w:szCs w:val="24"/>
    </w:rPr>
  </w:style>
  <w:style w:type="paragraph" w:customStyle="1" w:styleId="61">
    <w:name w:val="样式 样式 四号 + 首行缩进:  2 字符"/>
    <w:basedOn w:val="1"/>
    <w:qFormat/>
    <w:uiPriority w:val="0"/>
    <w:pPr>
      <w:ind w:firstLine="200"/>
      <w:jc w:val="center"/>
    </w:pPr>
    <w:rPr>
      <w:rFonts w:cs="宋体"/>
      <w:sz w:val="28"/>
    </w:rPr>
  </w:style>
  <w:style w:type="paragraph" w:customStyle="1" w:styleId="62">
    <w:name w:val="表内字"/>
    <w:basedOn w:val="1"/>
    <w:qFormat/>
    <w:uiPriority w:val="0"/>
    <w:pPr>
      <w:adjustRightInd w:val="0"/>
      <w:snapToGrid w:val="0"/>
      <w:spacing w:line="240" w:lineRule="auto"/>
      <w:ind w:firstLine="0" w:firstLineChars="0"/>
      <w:jc w:val="center"/>
    </w:pPr>
    <w:rPr>
      <w:kern w:val="0"/>
      <w:sz w:val="21"/>
      <w:szCs w:val="20"/>
    </w:rPr>
  </w:style>
  <w:style w:type="paragraph" w:customStyle="1" w:styleId="63">
    <w:name w:val="环评正文"/>
    <w:basedOn w:val="1"/>
    <w:qFormat/>
    <w:uiPriority w:val="0"/>
    <w:pPr>
      <w:tabs>
        <w:tab w:val="left" w:pos="4540"/>
      </w:tabs>
      <w:ind w:firstLine="200"/>
    </w:pPr>
    <w:rPr>
      <w:sz w:val="28"/>
    </w:rPr>
  </w:style>
  <w:style w:type="paragraph" w:customStyle="1" w:styleId="64">
    <w:name w:val="表格"/>
    <w:basedOn w:val="1"/>
    <w:qFormat/>
    <w:uiPriority w:val="0"/>
    <w:pPr>
      <w:adjustRightInd w:val="0"/>
      <w:snapToGrid w:val="0"/>
      <w:spacing w:line="400" w:lineRule="exact"/>
      <w:ind w:firstLine="560"/>
      <w:jc w:val="center"/>
    </w:pPr>
    <w:rPr>
      <w:snapToGrid w:val="0"/>
      <w:kern w:val="0"/>
      <w:szCs w:val="20"/>
    </w:rPr>
  </w:style>
  <w:style w:type="paragraph" w:customStyle="1" w:styleId="65">
    <w:name w:val="环评表格内容居中"/>
    <w:basedOn w:val="63"/>
    <w:qFormat/>
    <w:uiPriority w:val="0"/>
    <w:pPr>
      <w:adjustRightInd w:val="0"/>
      <w:snapToGrid w:val="0"/>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5.jpe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dk1"/>
        </a:lnRef>
        <a:fillRef idx="1">
          <a:schemeClr val="lt1"/>
        </a:fillRef>
        <a:effectRef idx="0">
          <a:schemeClr val="dk1"/>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A8A219-61B5-4794-93C4-91121F32BB81}">
  <ds:schemaRefs/>
</ds:datastoreItem>
</file>

<file path=docProps/app.xml><?xml version="1.0" encoding="utf-8"?>
<Properties xmlns="http://schemas.openxmlformats.org/officeDocument/2006/extended-properties" xmlns:vt="http://schemas.openxmlformats.org/officeDocument/2006/docPropsVTypes">
  <Template>Normal</Template>
  <Company>SUN工作室</Company>
  <Pages>95</Pages>
  <Words>28865</Words>
  <Characters>41167</Characters>
  <Lines>176</Lines>
  <Paragraphs>49</Paragraphs>
  <TotalTime>0</TotalTime>
  <ScaleCrop>false</ScaleCrop>
  <LinksUpToDate>false</LinksUpToDate>
  <CharactersWithSpaces>41619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2017-12-21T03:02:00Z</dcterms:created>
  <dc:creator>Administrator</dc:creator>
  <cp:lastModifiedBy>林国森</cp:lastModifiedBy>
  <cp:lastPrinted>2022-08-30T02:11:00Z</cp:lastPrinted>
  <dcterms:modified xsi:type="dcterms:W3CDTF">2023-04-24T06:14:47Z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9DC796850F304F2ABFFC18B6B16619B8</vt:lpwstr>
  </property>
</Properties>
</file>