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38B42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4198CDF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rPr>
      </w:pPr>
      <w:r>
        <w:rPr>
          <w:rFonts w:hint="eastAsia" w:ascii="Times New Roman" w:hAnsi="Times New Roman" w:eastAsia="宋体" w:cs="Times New Roman"/>
          <w:b/>
          <w:bCs/>
          <w:color w:val="auto"/>
          <w:kern w:val="2"/>
          <w:sz w:val="44"/>
          <w:szCs w:val="44"/>
        </w:rPr>
        <w:t>河南仟钰食品科技有限公司年产1500吨豆制品项目</w:t>
      </w:r>
      <w:r>
        <w:rPr>
          <w:rFonts w:hint="default" w:ascii="Times New Roman" w:hAnsi="Times New Roman" w:eastAsia="宋体" w:cs="Times New Roman"/>
          <w:b/>
          <w:bCs/>
          <w:color w:val="auto"/>
          <w:kern w:val="2"/>
          <w:sz w:val="44"/>
          <w:szCs w:val="44"/>
        </w:rPr>
        <w:t>竣工环境保护验收监测报告表</w:t>
      </w:r>
    </w:p>
    <w:p w14:paraId="59B5CEB8">
      <w:pPr>
        <w:spacing w:line="360" w:lineRule="auto"/>
        <w:jc w:val="center"/>
        <w:rPr>
          <w:rFonts w:hint="default" w:ascii="Times New Roman" w:hAnsi="Times New Roman" w:eastAsia="仿宋_GB2312" w:cs="Times New Roman"/>
          <w:color w:val="auto"/>
          <w:sz w:val="28"/>
        </w:rPr>
      </w:pPr>
    </w:p>
    <w:p w14:paraId="62E59BFC">
      <w:pPr>
        <w:jc w:val="center"/>
        <w:rPr>
          <w:rFonts w:hint="default" w:ascii="Times New Roman" w:hAnsi="Times New Roman" w:eastAsia="仿宋_GB2312" w:cs="Times New Roman"/>
          <w:color w:val="auto"/>
          <w:sz w:val="28"/>
        </w:rPr>
      </w:pPr>
    </w:p>
    <w:p w14:paraId="404C0A80">
      <w:pPr>
        <w:jc w:val="both"/>
        <w:rPr>
          <w:rFonts w:hint="default" w:ascii="Times New Roman" w:hAnsi="Times New Roman" w:eastAsia="仿宋_GB2312" w:cs="Times New Roman"/>
          <w:color w:val="auto"/>
          <w:sz w:val="28"/>
        </w:rPr>
      </w:pPr>
    </w:p>
    <w:p w14:paraId="2F969AF6">
      <w:pPr>
        <w:rPr>
          <w:rFonts w:hint="default" w:ascii="Times New Roman" w:hAnsi="Times New Roman" w:cs="Times New Roman"/>
        </w:rPr>
      </w:pPr>
    </w:p>
    <w:p w14:paraId="751E718B">
      <w:pPr>
        <w:rPr>
          <w:rFonts w:hint="default" w:ascii="Times New Roman" w:hAnsi="Times New Roman" w:cs="Times New Roman"/>
        </w:rPr>
      </w:pPr>
    </w:p>
    <w:p w14:paraId="1C89C99D">
      <w:pPr>
        <w:rPr>
          <w:rFonts w:hint="default" w:ascii="Times New Roman" w:hAnsi="Times New Roman" w:cs="Times New Roman"/>
        </w:rPr>
      </w:pPr>
    </w:p>
    <w:p w14:paraId="7D17928D">
      <w:pPr>
        <w:rPr>
          <w:rFonts w:hint="default" w:ascii="Times New Roman" w:hAnsi="Times New Roman" w:cs="Times New Roman"/>
        </w:rPr>
      </w:pPr>
    </w:p>
    <w:p w14:paraId="2A4226DA">
      <w:pPr>
        <w:rPr>
          <w:rFonts w:hint="default" w:ascii="Times New Roman" w:hAnsi="Times New Roman" w:cs="Times New Roman"/>
        </w:rPr>
      </w:pPr>
    </w:p>
    <w:p w14:paraId="09ED4828">
      <w:pPr>
        <w:rPr>
          <w:rFonts w:hint="default" w:ascii="Times New Roman" w:hAnsi="Times New Roman" w:cs="Times New Roman"/>
        </w:rPr>
      </w:pPr>
    </w:p>
    <w:p w14:paraId="6A022942">
      <w:pPr>
        <w:rPr>
          <w:rFonts w:hint="default" w:ascii="Times New Roman" w:hAnsi="Times New Roman" w:cs="Times New Roman"/>
        </w:rPr>
      </w:pPr>
    </w:p>
    <w:p w14:paraId="7C804F9E">
      <w:pPr>
        <w:rPr>
          <w:rFonts w:hint="default" w:ascii="Times New Roman" w:hAnsi="Times New Roman" w:cs="Times New Roman"/>
        </w:rPr>
      </w:pPr>
    </w:p>
    <w:p w14:paraId="201B5DBE">
      <w:pPr>
        <w:rPr>
          <w:rFonts w:hint="default" w:ascii="Times New Roman" w:hAnsi="Times New Roman" w:cs="Times New Roman"/>
        </w:rPr>
      </w:pPr>
    </w:p>
    <w:p w14:paraId="3C01F63E">
      <w:pPr>
        <w:pStyle w:val="2"/>
        <w:rPr>
          <w:rFonts w:hint="default"/>
        </w:rPr>
      </w:pPr>
    </w:p>
    <w:p w14:paraId="5EB961C9">
      <w:pPr>
        <w:rPr>
          <w:rFonts w:hint="default"/>
        </w:rPr>
      </w:pPr>
    </w:p>
    <w:p w14:paraId="70E424A8">
      <w:pPr>
        <w:pStyle w:val="2"/>
        <w:rPr>
          <w:rFonts w:hint="default"/>
        </w:rPr>
      </w:pPr>
    </w:p>
    <w:p w14:paraId="59304548">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p>
    <w:p w14:paraId="794C2B7A">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w:t>
      </w:r>
      <w:r>
        <w:rPr>
          <w:rFonts w:hint="eastAsia" w:ascii="Times New Roman" w:hAnsi="Times New Roman" w:cs="Times New Roman" w:eastAsiaTheme="minorEastAsia"/>
          <w:b w:val="0"/>
          <w:bCs w:val="0"/>
          <w:color w:val="auto"/>
          <w:kern w:val="2"/>
          <w:sz w:val="28"/>
          <w:szCs w:val="28"/>
          <w:u w:val="none"/>
          <w:lang w:val="en-US" w:eastAsia="zh-CN"/>
        </w:rPr>
        <w:t>河南仟钰食品科技有限公司</w:t>
      </w:r>
    </w:p>
    <w:p w14:paraId="6CE58B67">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w:t>
      </w:r>
      <w:r>
        <w:rPr>
          <w:rFonts w:hint="eastAsia" w:ascii="Times New Roman" w:hAnsi="Times New Roman" w:cs="Times New Roman" w:eastAsiaTheme="minorEastAsia"/>
          <w:b w:val="0"/>
          <w:bCs w:val="0"/>
          <w:color w:val="auto"/>
          <w:kern w:val="2"/>
          <w:sz w:val="28"/>
          <w:szCs w:val="28"/>
          <w:u w:val="none"/>
          <w:lang w:val="en-US" w:eastAsia="zh-CN"/>
        </w:rPr>
        <w:t>河南仟钰食品科技有限公司</w:t>
      </w:r>
    </w:p>
    <w:p w14:paraId="23A0FB76">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p>
    <w:p w14:paraId="4DF81CED">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25</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ascii="Times New Roman" w:hAnsi="Times New Roman" w:cs="Times New Roman" w:eastAsiaTheme="minorEastAsia"/>
          <w:b w:val="0"/>
          <w:bCs w:val="0"/>
          <w:color w:val="auto"/>
          <w:kern w:val="2"/>
          <w:sz w:val="28"/>
          <w:szCs w:val="28"/>
          <w:u w:val="none"/>
          <w:lang w:val="en-US" w:eastAsia="zh-CN"/>
        </w:rPr>
        <w:t>1</w:t>
      </w:r>
      <w:r>
        <w:rPr>
          <w:rFonts w:hint="default" w:ascii="Times New Roman" w:hAnsi="Times New Roman" w:cs="Times New Roman" w:eastAsiaTheme="minorEastAsia"/>
          <w:b w:val="0"/>
          <w:bCs w:val="0"/>
          <w:color w:val="auto"/>
          <w:kern w:val="2"/>
          <w:sz w:val="28"/>
          <w:szCs w:val="28"/>
          <w:u w:val="none"/>
          <w:lang w:val="en-US" w:eastAsia="zh-CN"/>
        </w:rPr>
        <w:t>月</w:t>
      </w:r>
    </w:p>
    <w:p w14:paraId="010C9114">
      <w:pPr>
        <w:jc w:val="center"/>
        <w:rPr>
          <w:rFonts w:hint="default"/>
          <w:lang w:val="en-US" w:eastAsia="zh-CN"/>
        </w:rPr>
      </w:pPr>
    </w:p>
    <w:p w14:paraId="1161F0D2">
      <w:pPr>
        <w:jc w:val="center"/>
        <w:rPr>
          <w:rFonts w:hint="default"/>
          <w:lang w:val="en-US" w:eastAsia="zh-CN"/>
        </w:rPr>
      </w:pPr>
    </w:p>
    <w:p w14:paraId="1C349948">
      <w:pPr>
        <w:jc w:val="center"/>
        <w:rPr>
          <w:rFonts w:hint="default"/>
          <w:lang w:val="en-US" w:eastAsia="zh-CN"/>
        </w:rPr>
      </w:pPr>
    </w:p>
    <w:p w14:paraId="33BD8883">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建设单</w:t>
      </w:r>
      <w:r>
        <w:rPr>
          <w:rFonts w:hint="default" w:ascii="Times New Roman" w:hAnsi="Times New Roman" w:cs="Times New Roman" w:eastAsiaTheme="minorEastAsia"/>
          <w:b w:val="0"/>
          <w:bCs w:val="0"/>
          <w:color w:val="auto"/>
          <w:kern w:val="2"/>
          <w:sz w:val="28"/>
          <w:szCs w:val="28"/>
          <w:u w:val="none"/>
          <w:lang w:val="en-US" w:eastAsia="zh-CN"/>
        </w:rPr>
        <w:t>位：</w:t>
      </w:r>
      <w:r>
        <w:rPr>
          <w:rFonts w:hint="eastAsia" w:ascii="Times New Roman" w:hAnsi="Times New Roman" w:cs="Times New Roman" w:eastAsiaTheme="minorEastAsia"/>
          <w:b w:val="0"/>
          <w:bCs w:val="0"/>
          <w:color w:val="auto"/>
          <w:kern w:val="2"/>
          <w:sz w:val="28"/>
          <w:szCs w:val="28"/>
          <w:u w:val="none"/>
          <w:lang w:val="en-US" w:eastAsia="zh-CN"/>
        </w:rPr>
        <w:t>河南仟钰食品科技有限公司</w:t>
      </w:r>
    </w:p>
    <w:p w14:paraId="1DBB53DB">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ascii="Times New Roman" w:hAnsi="Times New Roman" w:cs="Times New Roman" w:eastAsiaTheme="minorEastAsia"/>
          <w:b w:val="0"/>
          <w:bCs w:val="0"/>
          <w:color w:val="auto"/>
          <w:kern w:val="2"/>
          <w:sz w:val="28"/>
          <w:szCs w:val="28"/>
          <w:u w:val="none"/>
          <w:lang w:val="en-US" w:eastAsia="zh-CN"/>
        </w:rPr>
        <w:t>联系人</w:t>
      </w:r>
      <w:r>
        <w:rPr>
          <w:rFonts w:hint="default" w:ascii="Times New Roman" w:hAnsi="Times New Roman" w:cs="Times New Roman" w:eastAsiaTheme="minorEastAsia"/>
          <w:b w:val="0"/>
          <w:bCs w:val="0"/>
          <w:color w:val="auto"/>
          <w:kern w:val="2"/>
          <w:sz w:val="28"/>
          <w:szCs w:val="28"/>
          <w:u w:val="none"/>
          <w:lang w:val="en-US" w:eastAsia="zh-CN"/>
        </w:rPr>
        <w:t>：</w:t>
      </w:r>
      <w:r>
        <w:rPr>
          <w:rFonts w:hint="eastAsia" w:ascii="Times New Roman" w:hAnsi="Times New Roman" w:cs="Times New Roman" w:eastAsiaTheme="minorEastAsia"/>
          <w:b w:val="0"/>
          <w:bCs w:val="0"/>
          <w:color w:val="auto"/>
          <w:kern w:val="2"/>
          <w:sz w:val="28"/>
          <w:szCs w:val="28"/>
          <w:u w:val="none"/>
          <w:lang w:val="en-US" w:eastAsia="zh-CN"/>
        </w:rPr>
        <w:t>李帅兵</w:t>
      </w:r>
    </w:p>
    <w:p w14:paraId="51C5924C">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联系方式：</w:t>
      </w:r>
      <w:r>
        <w:rPr>
          <w:rFonts w:hint="eastAsia" w:ascii="Times New Roman" w:hAnsi="Times New Roman" w:cs="Times New Roman" w:eastAsiaTheme="minorEastAsia"/>
          <w:b w:val="0"/>
          <w:bCs w:val="0"/>
          <w:color w:val="auto"/>
          <w:kern w:val="2"/>
          <w:sz w:val="28"/>
          <w:szCs w:val="28"/>
          <w:u w:val="none"/>
          <w:lang w:val="en-US" w:eastAsia="zh-CN"/>
        </w:rPr>
        <w:t>18637982611</w:t>
      </w:r>
    </w:p>
    <w:p w14:paraId="14664AF2">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地    址：</w:t>
      </w:r>
      <w:r>
        <w:rPr>
          <w:rFonts w:hint="eastAsia" w:ascii="Times New Roman" w:hAnsi="Times New Roman" w:cs="Times New Roman" w:eastAsiaTheme="minorEastAsia"/>
          <w:b w:val="0"/>
          <w:bCs w:val="0"/>
          <w:color w:val="auto"/>
          <w:kern w:val="2"/>
          <w:sz w:val="28"/>
          <w:szCs w:val="28"/>
          <w:u w:val="none"/>
          <w:lang w:val="en-US" w:eastAsia="zh-CN"/>
        </w:rPr>
        <w:t>长垣市常村镇纬一路与经四路交叉口西100米路北1号</w:t>
      </w:r>
    </w:p>
    <w:p w14:paraId="029C2B0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64F9F7B6">
      <w:pPr>
        <w:pStyle w:val="22"/>
        <w:rPr>
          <w:rFonts w:hint="default"/>
          <w:lang w:val="en-US" w:eastAsia="zh-CN"/>
        </w:rPr>
      </w:pPr>
    </w:p>
    <w:p w14:paraId="3CC3557B">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eastAsia"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w:t>
      </w:r>
      <w:r>
        <w:rPr>
          <w:rFonts w:hint="default" w:ascii="Times New Roman" w:hAnsi="Times New Roman" w:cs="Times New Roman" w:eastAsiaTheme="minorEastAsia"/>
          <w:b w:val="0"/>
          <w:bCs w:val="0"/>
          <w:color w:val="auto"/>
          <w:kern w:val="2"/>
          <w:sz w:val="28"/>
          <w:szCs w:val="28"/>
          <w:u w:val="none"/>
          <w:lang w:val="en-US" w:eastAsia="zh-CN"/>
        </w:rPr>
        <w:t>测单位</w:t>
      </w:r>
      <w:r>
        <w:rPr>
          <w:rFonts w:hint="eastAsia" w:ascii="Times New Roman" w:hAnsi="Times New Roman" w:cs="Times New Roman" w:eastAsiaTheme="minorEastAsia"/>
          <w:b w:val="0"/>
          <w:bCs w:val="0"/>
          <w:color w:val="auto"/>
          <w:kern w:val="2"/>
          <w:sz w:val="28"/>
          <w:szCs w:val="28"/>
          <w:u w:val="none"/>
          <w:lang w:val="en-US" w:eastAsia="zh-CN"/>
        </w:rPr>
        <w:t>：河南中碳应用监测技术有限公司</w:t>
      </w:r>
    </w:p>
    <w:p w14:paraId="3D715083">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法人代表</w:t>
      </w:r>
      <w:r>
        <w:rPr>
          <w:rFonts w:hint="eastAsia" w:ascii="Times New Roman" w:hAnsi="Times New Roman" w:cs="Times New Roman" w:eastAsiaTheme="minorEastAsia"/>
          <w:b w:val="0"/>
          <w:bCs w:val="0"/>
          <w:color w:val="auto"/>
          <w:kern w:val="2"/>
          <w:sz w:val="28"/>
          <w:szCs w:val="28"/>
          <w:u w:val="none"/>
          <w:lang w:val="en-US" w:eastAsia="zh-CN"/>
        </w:rPr>
        <w:t>：焦育良</w:t>
      </w:r>
    </w:p>
    <w:p w14:paraId="44B97878">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ascii="Times New Roman" w:hAnsi="Times New Roman" w:cs="Times New Roman" w:eastAsiaTheme="minorEastAsia"/>
          <w:b w:val="0"/>
          <w:bCs w:val="0"/>
          <w:color w:val="auto"/>
          <w:kern w:val="2"/>
          <w:sz w:val="28"/>
          <w:szCs w:val="28"/>
          <w:u w:val="none"/>
          <w:lang w:val="en-US" w:eastAsia="zh-CN"/>
        </w:rPr>
        <w:t>联系人：付金星</w:t>
      </w:r>
    </w:p>
    <w:p w14:paraId="0B139BDE">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联系方式</w:t>
      </w:r>
      <w:r>
        <w:rPr>
          <w:rFonts w:hint="eastAsia" w:ascii="Times New Roman" w:hAnsi="Times New Roman" w:cs="Times New Roman" w:eastAsiaTheme="minorEastAsia"/>
          <w:b w:val="0"/>
          <w:bCs w:val="0"/>
          <w:color w:val="auto"/>
          <w:kern w:val="2"/>
          <w:sz w:val="28"/>
          <w:szCs w:val="28"/>
          <w:u w:val="none"/>
          <w:lang w:val="en-US" w:eastAsia="zh-CN"/>
        </w:rPr>
        <w:t>：18438648778</w:t>
      </w:r>
    </w:p>
    <w:p w14:paraId="0C644AAF">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32289665">
      <w:pPr>
        <w:rPr>
          <w:rFonts w:hint="default" w:ascii="Times New Roman" w:hAnsi="Times New Roman" w:cs="Times New Roman" w:eastAsiaTheme="minorEastAsia"/>
          <w:sz w:val="28"/>
          <w:szCs w:val="28"/>
          <w:lang w:val="en-US" w:eastAsia="zh-CN"/>
        </w:rPr>
      </w:pPr>
    </w:p>
    <w:p w14:paraId="347F2698">
      <w:pPr>
        <w:pStyle w:val="5"/>
        <w:rPr>
          <w:rFonts w:hint="default"/>
          <w:lang w:val="en-US" w:eastAsia="zh-CN"/>
        </w:rPr>
      </w:pPr>
    </w:p>
    <w:p w14:paraId="22A208DF">
      <w:pPr>
        <w:rPr>
          <w:rFonts w:hint="default"/>
          <w:lang w:val="en-US" w:eastAsia="zh-CN"/>
        </w:rPr>
      </w:pPr>
    </w:p>
    <w:p w14:paraId="0F1A6FCE">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w:t>
      </w:r>
      <w:r>
        <w:rPr>
          <w:rFonts w:hint="eastAsia" w:ascii="Times New Roman" w:hAnsi="Times New Roman" w:cs="Times New Roman" w:eastAsiaTheme="minorEastAsia"/>
          <w:b w:val="0"/>
          <w:bCs w:val="0"/>
          <w:color w:val="auto"/>
          <w:kern w:val="2"/>
          <w:sz w:val="28"/>
          <w:szCs w:val="28"/>
          <w:u w:val="none"/>
          <w:lang w:val="en-US" w:eastAsia="zh-CN"/>
        </w:rPr>
        <w:t>河南仟钰食品科技有限公司</w:t>
      </w:r>
    </w:p>
    <w:p w14:paraId="1EA8556D">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法人代表：</w:t>
      </w:r>
      <w:r>
        <w:rPr>
          <w:rFonts w:hint="eastAsia" w:ascii="Times New Roman" w:hAnsi="Times New Roman" w:cs="Times New Roman" w:eastAsiaTheme="minorEastAsia"/>
          <w:b w:val="0"/>
          <w:bCs w:val="0"/>
          <w:color w:val="auto"/>
          <w:kern w:val="2"/>
          <w:sz w:val="28"/>
          <w:szCs w:val="28"/>
          <w:u w:val="none"/>
          <w:lang w:val="en-US" w:eastAsia="zh-CN"/>
        </w:rPr>
        <w:t>李帅兵</w:t>
      </w:r>
    </w:p>
    <w:p w14:paraId="3A6C96C5">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项目负责人：</w:t>
      </w:r>
      <w:r>
        <w:rPr>
          <w:rFonts w:hint="eastAsia" w:ascii="Times New Roman" w:hAnsi="Times New Roman" w:cs="Times New Roman" w:eastAsiaTheme="minorEastAsia"/>
          <w:b w:val="0"/>
          <w:bCs w:val="0"/>
          <w:color w:val="auto"/>
          <w:kern w:val="2"/>
          <w:sz w:val="28"/>
          <w:szCs w:val="28"/>
          <w:u w:val="none"/>
          <w:lang w:val="en-US" w:eastAsia="zh-CN"/>
        </w:rPr>
        <w:t>李帅兵</w:t>
      </w:r>
    </w:p>
    <w:p w14:paraId="61738DFF">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联系方式：</w:t>
      </w:r>
      <w:r>
        <w:rPr>
          <w:rFonts w:hint="eastAsia" w:ascii="Times New Roman" w:hAnsi="Times New Roman" w:cs="Times New Roman" w:eastAsiaTheme="minorEastAsia"/>
          <w:b w:val="0"/>
          <w:bCs w:val="0"/>
          <w:color w:val="auto"/>
          <w:kern w:val="2"/>
          <w:sz w:val="28"/>
          <w:szCs w:val="28"/>
          <w:u w:val="none"/>
          <w:lang w:val="en-US" w:eastAsia="zh-CN"/>
        </w:rPr>
        <w:t>18637982611</w:t>
      </w:r>
    </w:p>
    <w:p w14:paraId="69E2AD53">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eastAsia"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地    址：</w:t>
      </w:r>
      <w:r>
        <w:rPr>
          <w:rFonts w:hint="eastAsia" w:ascii="Times New Roman" w:hAnsi="Times New Roman" w:cs="Times New Roman" w:eastAsiaTheme="minorEastAsia"/>
          <w:b w:val="0"/>
          <w:bCs w:val="0"/>
          <w:color w:val="auto"/>
          <w:kern w:val="2"/>
          <w:sz w:val="28"/>
          <w:szCs w:val="28"/>
          <w:u w:val="none"/>
          <w:lang w:val="en-US" w:eastAsia="zh-CN"/>
        </w:rPr>
        <w:t>长垣市常村镇纬一路与经四路交叉口西100米路北1号</w:t>
      </w:r>
    </w:p>
    <w:p w14:paraId="58DBF4DA">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highlight w:val="none"/>
        </w:rPr>
        <w:sectPr>
          <w:footerReference r:id="rId4"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14:paraId="16800825">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highlight w:val="none"/>
        </w:rPr>
      </w:pPr>
      <w:r>
        <w:rPr>
          <w:rFonts w:hint="default" w:ascii="Times New Roman" w:hAnsi="Times New Roman" w:cs="Times New Roman" w:eastAsiaTheme="minorEastAsia"/>
          <w:b/>
          <w:color w:val="auto"/>
          <w:sz w:val="32"/>
          <w:szCs w:val="32"/>
          <w:highlight w:val="none"/>
        </w:rPr>
        <w:t>表一</w:t>
      </w:r>
    </w:p>
    <w:tbl>
      <w:tblPr>
        <w:tblStyle w:val="3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2014"/>
        <w:gridCol w:w="1960"/>
        <w:gridCol w:w="1048"/>
        <w:gridCol w:w="736"/>
        <w:gridCol w:w="964"/>
      </w:tblGrid>
      <w:tr w14:paraId="30413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1C764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722" w:type="dxa"/>
            <w:gridSpan w:val="5"/>
            <w:vAlign w:val="center"/>
          </w:tcPr>
          <w:p w14:paraId="4E0F9A1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年产1500吨豆制品项目</w:t>
            </w:r>
          </w:p>
        </w:tc>
      </w:tr>
      <w:tr w14:paraId="1C4F2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3130CD3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722" w:type="dxa"/>
            <w:gridSpan w:val="5"/>
            <w:vAlign w:val="center"/>
          </w:tcPr>
          <w:p w14:paraId="7422EBA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河南仟钰食品科技有限公司</w:t>
            </w:r>
          </w:p>
        </w:tc>
      </w:tr>
      <w:tr w14:paraId="4623E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A5B83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722" w:type="dxa"/>
            <w:gridSpan w:val="5"/>
            <w:vAlign w:val="center"/>
          </w:tcPr>
          <w:p w14:paraId="7DEB81D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 xml:space="preserve">新建√ </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0A5B8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97A64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722" w:type="dxa"/>
            <w:gridSpan w:val="5"/>
            <w:vAlign w:val="center"/>
          </w:tcPr>
          <w:p w14:paraId="5A7E6A3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长垣市常村镇纬一路与经四路交叉口西100米路北1号</w:t>
            </w:r>
          </w:p>
        </w:tc>
      </w:tr>
      <w:tr w14:paraId="21461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78D25BD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722" w:type="dxa"/>
            <w:gridSpan w:val="5"/>
            <w:vAlign w:val="center"/>
          </w:tcPr>
          <w:p w14:paraId="4392A8D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红豆沙馅、绿豆沙馅、糖纳红豆、糖纳绿豆</w:t>
            </w:r>
          </w:p>
        </w:tc>
      </w:tr>
      <w:tr w14:paraId="7984E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1C12CB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2014" w:type="dxa"/>
            <w:vAlign w:val="center"/>
          </w:tcPr>
          <w:p w14:paraId="42A02E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8月</w:t>
            </w:r>
          </w:p>
        </w:tc>
        <w:tc>
          <w:tcPr>
            <w:tcW w:w="1960" w:type="dxa"/>
            <w:vAlign w:val="center"/>
          </w:tcPr>
          <w:p w14:paraId="0A4B98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2748" w:type="dxa"/>
            <w:gridSpan w:val="3"/>
            <w:vAlign w:val="center"/>
          </w:tcPr>
          <w:p w14:paraId="783E559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月</w:t>
            </w:r>
          </w:p>
        </w:tc>
      </w:tr>
      <w:tr w14:paraId="585EE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61DCC7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2014" w:type="dxa"/>
            <w:vAlign w:val="center"/>
          </w:tcPr>
          <w:p w14:paraId="135A743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1960" w:type="dxa"/>
            <w:vAlign w:val="center"/>
          </w:tcPr>
          <w:p w14:paraId="381C42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2748" w:type="dxa"/>
            <w:gridSpan w:val="3"/>
            <w:vAlign w:val="center"/>
          </w:tcPr>
          <w:p w14:paraId="6600695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2025年1月2~3日</w:t>
            </w:r>
          </w:p>
        </w:tc>
      </w:tr>
      <w:tr w14:paraId="1B5DC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634284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F981A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2014" w:type="dxa"/>
            <w:vAlign w:val="center"/>
          </w:tcPr>
          <w:p w14:paraId="40FDB5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24]49</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tc>
        <w:tc>
          <w:tcPr>
            <w:tcW w:w="1960" w:type="dxa"/>
            <w:vAlign w:val="center"/>
          </w:tcPr>
          <w:p w14:paraId="01CF70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47EA5A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748" w:type="dxa"/>
            <w:gridSpan w:val="3"/>
            <w:vAlign w:val="center"/>
          </w:tcPr>
          <w:p w14:paraId="1AB282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p>
        </w:tc>
      </w:tr>
      <w:tr w14:paraId="0E42B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1EA486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2014" w:type="dxa"/>
            <w:vAlign w:val="center"/>
          </w:tcPr>
          <w:p w14:paraId="73B0933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960" w:type="dxa"/>
            <w:vAlign w:val="center"/>
          </w:tcPr>
          <w:p w14:paraId="0F4778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748" w:type="dxa"/>
            <w:gridSpan w:val="3"/>
            <w:vAlign w:val="center"/>
          </w:tcPr>
          <w:p w14:paraId="7BF791D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24D46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73F172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2014" w:type="dxa"/>
            <w:vAlign w:val="center"/>
          </w:tcPr>
          <w:p w14:paraId="3F42DB5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271EB0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048" w:type="dxa"/>
            <w:vAlign w:val="center"/>
          </w:tcPr>
          <w:p w14:paraId="274E46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15</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14:paraId="435F850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0B97C61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w:t>
            </w:r>
          </w:p>
        </w:tc>
      </w:tr>
      <w:tr w14:paraId="3CEC8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7F8138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2014" w:type="dxa"/>
            <w:vAlign w:val="center"/>
          </w:tcPr>
          <w:p w14:paraId="035027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31C75E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048" w:type="dxa"/>
            <w:vAlign w:val="center"/>
          </w:tcPr>
          <w:p w14:paraId="129A718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15</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14:paraId="76C0A8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3BEFA3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w:t>
            </w:r>
          </w:p>
        </w:tc>
      </w:tr>
      <w:tr w14:paraId="086FE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35AFB7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722" w:type="dxa"/>
            <w:gridSpan w:val="5"/>
            <w:vAlign w:val="center"/>
          </w:tcPr>
          <w:p w14:paraId="6D4B3B68">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9EEA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gridSpan w:val="6"/>
            <w:vAlign w:val="center"/>
          </w:tcPr>
          <w:p w14:paraId="12DED887">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77955F9">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eastAsiaTheme="minorEastAsia"/>
                <w:color w:val="auto"/>
                <w:sz w:val="24"/>
                <w:szCs w:val="24"/>
                <w:lang w:val="en-US" w:eastAsia="zh-CN"/>
              </w:rPr>
              <w:t>河南仟钰食品科技有限公司</w:t>
            </w:r>
            <w:r>
              <w:rPr>
                <w:rFonts w:hint="default" w:ascii="Times New Roman" w:hAnsi="Times New Roman" w:eastAsia="宋体" w:cs="Times New Roman"/>
                <w:color w:val="auto"/>
                <w:sz w:val="24"/>
                <w:szCs w:val="24"/>
                <w:lang w:val="en-US" w:eastAsia="zh-CN"/>
              </w:rPr>
              <w:t>于202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8月</w:t>
            </w:r>
            <w:r>
              <w:rPr>
                <w:rFonts w:hint="default" w:ascii="Times New Roman" w:hAnsi="Times New Roman" w:eastAsia="宋体" w:cs="Times New Roman"/>
                <w:color w:val="auto"/>
                <w:sz w:val="24"/>
                <w:szCs w:val="24"/>
                <w:lang w:val="en-US" w:eastAsia="zh-CN"/>
              </w:rPr>
              <w:t>在</w:t>
            </w:r>
            <w:r>
              <w:rPr>
                <w:rFonts w:hint="eastAsia" w:ascii="Times New Roman" w:hAnsi="Times New Roman" w:cs="Times New Roman" w:eastAsiaTheme="minorEastAsia"/>
                <w:color w:val="auto"/>
                <w:sz w:val="24"/>
                <w:szCs w:val="24"/>
                <w:lang w:val="en-US" w:eastAsia="zh-CN"/>
              </w:rPr>
              <w:t>长垣市常村镇纬一路与经四路交叉口西100米路北1号拟</w:t>
            </w:r>
            <w:r>
              <w:rPr>
                <w:rFonts w:hint="eastAsia" w:ascii="Times New Roman" w:hAnsi="Times New Roman" w:eastAsia="宋体" w:cs="Times New Roman"/>
                <w:color w:val="auto"/>
                <w:sz w:val="24"/>
                <w:szCs w:val="24"/>
                <w:lang w:val="en-US" w:eastAsia="zh-CN"/>
              </w:rPr>
              <w:t>投资10</w:t>
            </w:r>
            <w:r>
              <w:rPr>
                <w:rFonts w:hint="default" w:ascii="Times New Roman" w:hAnsi="Times New Roman" w:eastAsia="宋体" w:cs="Times New Roman"/>
                <w:color w:val="auto"/>
                <w:sz w:val="24"/>
                <w:szCs w:val="24"/>
                <w:lang w:val="en-US" w:eastAsia="zh-CN"/>
              </w:rPr>
              <w:t>00万元</w:t>
            </w:r>
            <w:r>
              <w:rPr>
                <w:rFonts w:hint="eastAsia" w:ascii="Times New Roman" w:hAnsi="Times New Roman" w:cs="Times New Roman" w:eastAsiaTheme="minorEastAsia"/>
                <w:color w:val="auto"/>
                <w:sz w:val="24"/>
                <w:szCs w:val="24"/>
                <w:lang w:val="en-US" w:eastAsia="zh-CN"/>
              </w:rPr>
              <w:t>年产1500吨豆制品</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color w:val="auto"/>
                <w:sz w:val="24"/>
                <w:szCs w:val="24"/>
                <w:lang w:val="en-US" w:eastAsia="zh-CN"/>
              </w:rPr>
              <w:t>，经现场勘察，</w:t>
            </w:r>
            <w:r>
              <w:rPr>
                <w:rFonts w:hint="eastAsia" w:ascii="Times New Roman" w:hAnsi="Times New Roman" w:cs="Times New Roman" w:eastAsiaTheme="minorEastAsia"/>
                <w:color w:val="auto"/>
                <w:sz w:val="24"/>
                <w:szCs w:val="24"/>
                <w:lang w:val="en-US" w:eastAsia="zh-CN"/>
              </w:rPr>
              <w:t>本项目已建设完成，达到产能为年产1500吨豆制品</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占地</w:t>
            </w:r>
            <w:r>
              <w:rPr>
                <w:rFonts w:hint="eastAsia" w:ascii="Times New Roman" w:hAnsi="Times New Roman"/>
                <w:bCs/>
                <w:szCs w:val="21"/>
                <w:highlight w:val="none"/>
              </w:rPr>
              <w:t>6240</w:t>
            </w:r>
            <w:r>
              <w:rPr>
                <w:rFonts w:ascii="Times New Roman" w:hAnsi="Times New Roman"/>
                <w:szCs w:val="21"/>
                <w:highlight w:val="none"/>
              </w:rPr>
              <w:t>m</w:t>
            </w:r>
            <w:r>
              <w:rPr>
                <w:rFonts w:ascii="Times New Roman" w:hAnsi="Times New Roman"/>
                <w:szCs w:val="21"/>
                <w:highlight w:val="none"/>
                <w:vertAlign w:val="superscript"/>
              </w:rPr>
              <w:t>2</w:t>
            </w:r>
            <w:r>
              <w:rPr>
                <w:rFonts w:hint="default" w:ascii="Times New Roman" w:hAnsi="Times New Roman" w:eastAsia="宋体" w:cs="Times New Roman"/>
                <w:color w:val="auto"/>
                <w:sz w:val="24"/>
                <w:szCs w:val="24"/>
              </w:rPr>
              <w:t>。</w:t>
            </w:r>
          </w:p>
          <w:p w14:paraId="56F35B0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eastAsia="宋体" w:cs="Times New Roman"/>
                <w:color w:val="auto"/>
                <w:sz w:val="24"/>
                <w:szCs w:val="24"/>
                <w:lang w:val="en-US" w:eastAsia="zh-CN"/>
              </w:rPr>
              <w:t>编制完成了本项目的环境影响报告表，20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24]49</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063137A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根据《建设项目竣工环境保护验收技术指南污染影响类》和《建设项目竣工环境保护验收暂行办法》，河南方亿密封科技有限公司按照国家有关规范要求，编制完成本项目的验收报告。</w:t>
            </w:r>
          </w:p>
        </w:tc>
      </w:tr>
      <w:tr w14:paraId="218AC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C9B2358">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F56ECB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E89DE7F">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955A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36FE30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9EC48D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3C58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86DD26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031B05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ACA2E35">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46D83D8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0DB10F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5836BC8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96EAB4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0973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C5AE37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22" w:type="dxa"/>
            <w:gridSpan w:val="5"/>
            <w:vAlign w:val="center"/>
          </w:tcPr>
          <w:p w14:paraId="48C476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17BDE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（2）《中华人民共和国环境影响评价法》（2016.9.1）；</w:t>
            </w:r>
          </w:p>
          <w:p w14:paraId="594D3B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（3）《中华人民共和国大气污染防治法》（2016.1.1）；</w:t>
            </w:r>
          </w:p>
          <w:p w14:paraId="3F4F5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（4）《中华人民共和国水污染防治法》（2008.6.1）；</w:t>
            </w:r>
          </w:p>
          <w:p w14:paraId="704BC2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（5）《中华人民共和国固体废物污染环境防治法》(2016.11.7)；</w:t>
            </w:r>
          </w:p>
          <w:p w14:paraId="2FD72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（6）《中华人民共和国环境噪声污染防治法》(1997.3.1)；</w:t>
            </w:r>
          </w:p>
          <w:p w14:paraId="3099A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27</w:t>
            </w:r>
            <w:r>
              <w:rPr>
                <w:rFonts w:hint="default" w:ascii="Times New Roman" w:hAnsi="Times New Roman" w:cs="Times New Roman" w:eastAsiaTheme="minorEastAsia"/>
                <w:sz w:val="24"/>
                <w:szCs w:val="24"/>
                <w:lang w:val="en-US" w:eastAsia="zh-CN"/>
              </w:rPr>
              <w:t>)；</w:t>
            </w:r>
          </w:p>
          <w:p w14:paraId="4ECD3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17EA1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（9）《一般工业固体废物贮存和填埋污染控制标准》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w:t>
            </w:r>
          </w:p>
          <w:p w14:paraId="025CB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-2020</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w:t>
            </w:r>
          </w:p>
          <w:p w14:paraId="47445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28B4E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3B677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0EB3EA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74602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auto"/>
                <w:sz w:val="24"/>
                <w:szCs w:val="24"/>
                <w:lang w:val="en-US" w:eastAsia="zh-CN"/>
              </w:rPr>
              <w:t>河南仟钰食品科技有限公司年产1500吨豆制品项目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年）；</w:t>
            </w:r>
          </w:p>
          <w:p w14:paraId="3E9CD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color w:val="auto"/>
                <w:sz w:val="24"/>
                <w:szCs w:val="24"/>
                <w:lang w:val="en-US" w:eastAsia="zh-CN"/>
              </w:rPr>
              <w:t>河南仟钰食品科技有限公司年产1500吨豆制品项目</w:t>
            </w:r>
            <w:r>
              <w:rPr>
                <w:rFonts w:hint="default" w:ascii="Times New Roman" w:hAnsi="Times New Roman" w:cs="Times New Roman" w:eastAsiaTheme="minorEastAsia"/>
                <w:sz w:val="24"/>
                <w:szCs w:val="24"/>
                <w:lang w:val="en-US" w:eastAsia="zh-CN"/>
              </w:rPr>
              <w:t>环境影响报告表》的批复（长环审（20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49</w:t>
            </w:r>
            <w:r>
              <w:rPr>
                <w:rFonts w:hint="default" w:ascii="Times New Roman" w:hAnsi="Times New Roman" w:cs="Times New Roman" w:eastAsiaTheme="minorEastAsia"/>
                <w:sz w:val="24"/>
                <w:szCs w:val="24"/>
                <w:lang w:val="en-US" w:eastAsia="zh-CN"/>
              </w:rPr>
              <w:t>号)。</w:t>
            </w:r>
          </w:p>
          <w:p w14:paraId="6B20F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eastAsia="zh-CN"/>
              </w:rPr>
            </w:pPr>
          </w:p>
          <w:p w14:paraId="0727ED33">
            <w:pPr>
              <w:keepNext w:val="0"/>
              <w:keepLines w:val="0"/>
              <w:pageBreakBefore w:val="0"/>
              <w:widowControl/>
              <w:kinsoku/>
              <w:wordWrap/>
              <w:overflowPunct/>
              <w:topLinePunct w:val="0"/>
              <w:autoSpaceDE/>
              <w:autoSpaceDN/>
              <w:bidi w:val="0"/>
              <w:adjustRightInd w:val="0"/>
              <w:snapToGrid w:val="0"/>
              <w:spacing w:before="0" w:afterLines="0" w:line="520" w:lineRule="exact"/>
              <w:jc w:val="both"/>
              <w:textAlignment w:val="auto"/>
              <w:outlineLvl w:val="9"/>
              <w:rPr>
                <w:rFonts w:hint="default" w:ascii="Times New Roman" w:hAnsi="Times New Roman" w:eastAsia="宋体" w:cs="Times New Roman"/>
                <w:color w:val="auto"/>
                <w:sz w:val="24"/>
                <w:szCs w:val="24"/>
                <w:lang w:eastAsia="zh-CN"/>
              </w:rPr>
            </w:pPr>
          </w:p>
          <w:p w14:paraId="26C96065">
            <w:pPr>
              <w:keepNext w:val="0"/>
              <w:keepLines w:val="0"/>
              <w:pageBreakBefore w:val="0"/>
              <w:widowControl/>
              <w:kinsoku/>
              <w:wordWrap/>
              <w:overflowPunct/>
              <w:topLinePunct w:val="0"/>
              <w:autoSpaceDE/>
              <w:autoSpaceDN/>
              <w:bidi w:val="0"/>
              <w:adjustRightInd w:val="0"/>
              <w:snapToGrid w:val="0"/>
              <w:spacing w:afterLines="0" w:line="520" w:lineRule="exact"/>
              <w:textAlignment w:val="auto"/>
              <w:outlineLvl w:val="9"/>
              <w:rPr>
                <w:rFonts w:hint="default" w:ascii="Times New Roman" w:hAnsi="Times New Roman" w:eastAsia="宋体" w:cs="Times New Roman"/>
                <w:color w:val="auto"/>
                <w:sz w:val="24"/>
                <w:szCs w:val="24"/>
                <w:lang w:eastAsia="zh-CN"/>
              </w:rPr>
            </w:pPr>
          </w:p>
          <w:p w14:paraId="03F3D07B">
            <w:pPr>
              <w:pStyle w:val="5"/>
              <w:rPr>
                <w:rFonts w:hint="default" w:ascii="Times New Roman" w:hAnsi="Times New Roman" w:eastAsia="宋体" w:cs="Times New Roman"/>
                <w:color w:val="auto"/>
                <w:sz w:val="24"/>
                <w:szCs w:val="24"/>
                <w:lang w:eastAsia="zh-CN"/>
              </w:rPr>
            </w:pPr>
          </w:p>
          <w:p w14:paraId="5D1768F9">
            <w:pPr>
              <w:rPr>
                <w:rFonts w:hint="default" w:ascii="Times New Roman" w:hAnsi="Times New Roman" w:eastAsia="宋体" w:cs="Times New Roman"/>
                <w:color w:val="auto"/>
                <w:sz w:val="24"/>
                <w:szCs w:val="24"/>
                <w:lang w:eastAsia="zh-CN"/>
              </w:rPr>
            </w:pPr>
          </w:p>
          <w:p w14:paraId="5AEAC59B">
            <w:pPr>
              <w:pStyle w:val="5"/>
              <w:rPr>
                <w:rFonts w:hint="default" w:ascii="Times New Roman" w:hAnsi="Times New Roman" w:cs="Times New Roman"/>
                <w:lang w:eastAsia="zh-CN"/>
              </w:rPr>
            </w:pPr>
          </w:p>
          <w:p w14:paraId="1D27252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75C76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6" w:hRule="atLeast"/>
          <w:jc w:val="center"/>
        </w:trPr>
        <w:tc>
          <w:tcPr>
            <w:tcW w:w="2224" w:type="dxa"/>
            <w:vAlign w:val="center"/>
          </w:tcPr>
          <w:p w14:paraId="6ECEE2F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22" w:type="dxa"/>
            <w:gridSpan w:val="5"/>
            <w:vAlign w:val="center"/>
          </w:tcPr>
          <w:p w14:paraId="72A943F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14:paraId="4DE56A88">
            <w:pPr>
              <w:pStyle w:val="5"/>
              <w:keepNext/>
              <w:keepLines/>
              <w:pageBreakBefore w:val="0"/>
              <w:widowControl/>
              <w:numPr>
                <w:ilvl w:val="0"/>
                <w:numId w:val="2"/>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54875D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8C96492">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 噪声污染物排放标准</w:t>
            </w:r>
          </w:p>
          <w:tbl>
            <w:tblPr>
              <w:tblStyle w:val="30"/>
              <w:tblW w:w="6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14:paraId="2E5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14:paraId="679C5BC6">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14:paraId="7EB696A3">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14:paraId="3581D126">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14:paraId="01539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14:paraId="4CC99A2C">
                  <w:pPr>
                    <w:pStyle w:val="40"/>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 xml:space="preserve">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14:paraId="092476E8">
                  <w:pPr>
                    <w:pStyle w:val="40"/>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14:paraId="0760254A">
                  <w:pPr>
                    <w:pStyle w:val="4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w:t>
                  </w:r>
                  <w:r>
                    <w:rPr>
                      <w:rFonts w:hint="eastAsia" w:ascii="Times New Roman" w:hAnsi="Times New Roman" w:cs="Times New Roman" w:eastAsiaTheme="minorEastAsia"/>
                      <w:color w:val="auto"/>
                      <w:sz w:val="21"/>
                      <w:szCs w:val="21"/>
                      <w:lang w:val="en-US" w:eastAsia="zh-CN"/>
                    </w:rPr>
                    <w:t>60</w:t>
                  </w:r>
                  <w:r>
                    <w:rPr>
                      <w:rFonts w:hint="default" w:ascii="Times New Roman" w:hAnsi="Times New Roman" w:cs="Times New Roman" w:eastAsiaTheme="minorEastAsia"/>
                      <w:color w:val="auto"/>
                      <w:spacing w:val="-9"/>
                      <w:sz w:val="21"/>
                      <w:szCs w:val="21"/>
                    </w:rPr>
                    <w:t>dB(A)</w:t>
                  </w:r>
                </w:p>
                <w:p w14:paraId="53F3E9DA">
                  <w:pPr>
                    <w:pStyle w:val="4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dB(A)</w:t>
                  </w:r>
                </w:p>
              </w:tc>
            </w:tr>
            <w:bookmarkEnd w:id="0"/>
          </w:tbl>
          <w:p w14:paraId="41913E1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w:t>
            </w:r>
          </w:p>
          <w:p w14:paraId="71E2F480">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废气执行标准见表2。</w:t>
            </w:r>
          </w:p>
          <w:p w14:paraId="1BE31ACE">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废水</w:t>
            </w:r>
            <w:r>
              <w:rPr>
                <w:rFonts w:hint="default" w:ascii="Times New Roman" w:hAnsi="Times New Roman" w:cs="Times New Roman" w:eastAsiaTheme="minorEastAsia"/>
                <w:b/>
                <w:bCs/>
                <w:color w:val="auto"/>
                <w:kern w:val="2"/>
                <w:sz w:val="21"/>
                <w:szCs w:val="21"/>
                <w:lang w:val="en-US" w:eastAsia="zh-CN" w:bidi="ar-SA"/>
              </w:rPr>
              <w:t>污染物排放标准</w:t>
            </w:r>
          </w:p>
          <w:tbl>
            <w:tblPr>
              <w:tblStyle w:val="30"/>
              <w:tblW w:w="6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157"/>
              <w:gridCol w:w="1390"/>
              <w:gridCol w:w="537"/>
              <w:gridCol w:w="930"/>
              <w:gridCol w:w="1714"/>
            </w:tblGrid>
            <w:tr w14:paraId="1C5A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31" w:type="dxa"/>
                  <w:vMerge w:val="restart"/>
                  <w:noWrap w:val="0"/>
                  <w:vAlign w:val="center"/>
                </w:tcPr>
                <w:p w14:paraId="5ACD43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污染</w:t>
                  </w:r>
                </w:p>
                <w:p w14:paraId="2BC38D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类别</w:t>
                  </w:r>
                </w:p>
              </w:tc>
              <w:tc>
                <w:tcPr>
                  <w:tcW w:w="1157" w:type="dxa"/>
                  <w:vMerge w:val="restart"/>
                  <w:noWrap w:val="0"/>
                  <w:vAlign w:val="center"/>
                </w:tcPr>
                <w:p w14:paraId="255B7B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标准编号</w:t>
                  </w:r>
                </w:p>
              </w:tc>
              <w:tc>
                <w:tcPr>
                  <w:tcW w:w="1390" w:type="dxa"/>
                  <w:vMerge w:val="restart"/>
                  <w:noWrap w:val="0"/>
                  <w:vAlign w:val="center"/>
                </w:tcPr>
                <w:p w14:paraId="5978F5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标准名称</w:t>
                  </w:r>
                </w:p>
              </w:tc>
              <w:tc>
                <w:tcPr>
                  <w:tcW w:w="537" w:type="dxa"/>
                  <w:vMerge w:val="restart"/>
                  <w:noWrap w:val="0"/>
                  <w:vAlign w:val="center"/>
                </w:tcPr>
                <w:p w14:paraId="4814E7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执行</w:t>
                  </w:r>
                </w:p>
                <w:p w14:paraId="59F6D69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级别</w:t>
                  </w:r>
                </w:p>
              </w:tc>
              <w:tc>
                <w:tcPr>
                  <w:tcW w:w="2644" w:type="dxa"/>
                  <w:gridSpan w:val="2"/>
                  <w:noWrap w:val="0"/>
                  <w:vAlign w:val="center"/>
                </w:tcPr>
                <w:p w14:paraId="196891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排放要求</w:t>
                  </w:r>
                </w:p>
              </w:tc>
            </w:tr>
            <w:tr w14:paraId="7B48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noWrap w:val="0"/>
                  <w:vAlign w:val="center"/>
                </w:tcPr>
                <w:p w14:paraId="06A5A0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p>
              </w:tc>
              <w:tc>
                <w:tcPr>
                  <w:tcW w:w="1157" w:type="dxa"/>
                  <w:vMerge w:val="continue"/>
                  <w:noWrap w:val="0"/>
                  <w:vAlign w:val="center"/>
                </w:tcPr>
                <w:p w14:paraId="1016DA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p>
              </w:tc>
              <w:tc>
                <w:tcPr>
                  <w:tcW w:w="1390" w:type="dxa"/>
                  <w:vMerge w:val="continue"/>
                  <w:noWrap w:val="0"/>
                  <w:vAlign w:val="center"/>
                </w:tcPr>
                <w:p w14:paraId="3ACDDE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p>
              </w:tc>
              <w:tc>
                <w:tcPr>
                  <w:tcW w:w="537" w:type="dxa"/>
                  <w:vMerge w:val="continue"/>
                  <w:noWrap w:val="0"/>
                  <w:vAlign w:val="center"/>
                </w:tcPr>
                <w:p w14:paraId="4F5E9C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p>
              </w:tc>
              <w:tc>
                <w:tcPr>
                  <w:tcW w:w="930" w:type="dxa"/>
                  <w:noWrap w:val="0"/>
                  <w:vAlign w:val="center"/>
                </w:tcPr>
                <w:p w14:paraId="4EA927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污染因子</w:t>
                  </w:r>
                </w:p>
              </w:tc>
              <w:tc>
                <w:tcPr>
                  <w:tcW w:w="1714" w:type="dxa"/>
                  <w:noWrap w:val="0"/>
                  <w:vAlign w:val="center"/>
                </w:tcPr>
                <w:p w14:paraId="1B2549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highlight w:val="none"/>
                    </w:rPr>
                  </w:pPr>
                  <w:r>
                    <w:rPr>
                      <w:rFonts w:hint="default" w:ascii="Times New Roman" w:hAnsi="Times New Roman" w:eastAsia="宋体" w:cs="Times New Roman"/>
                      <w:b w:val="0"/>
                      <w:bCs w:val="0"/>
                      <w:highlight w:val="none"/>
                    </w:rPr>
                    <w:t>排放限值</w:t>
                  </w:r>
                </w:p>
              </w:tc>
            </w:tr>
            <w:tr w14:paraId="4057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restart"/>
                  <w:noWrap w:val="0"/>
                  <w:vAlign w:val="center"/>
                </w:tcPr>
                <w:p w14:paraId="7A692B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废气</w:t>
                  </w:r>
                </w:p>
              </w:tc>
              <w:tc>
                <w:tcPr>
                  <w:tcW w:w="1157" w:type="dxa"/>
                  <w:noWrap w:val="0"/>
                  <w:vAlign w:val="center"/>
                </w:tcPr>
                <w:p w14:paraId="45A16102">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GB16297</w:t>
                  </w:r>
                </w:p>
                <w:p w14:paraId="47D22F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-1996</w:t>
                  </w:r>
                </w:p>
              </w:tc>
              <w:tc>
                <w:tcPr>
                  <w:tcW w:w="1390" w:type="dxa"/>
                  <w:noWrap w:val="0"/>
                  <w:vAlign w:val="center"/>
                </w:tcPr>
                <w:p w14:paraId="1CAAEFC7">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《大气污染物</w:t>
                  </w:r>
                </w:p>
                <w:p w14:paraId="095680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综合排放标准》</w:t>
                  </w:r>
                </w:p>
              </w:tc>
              <w:tc>
                <w:tcPr>
                  <w:tcW w:w="537" w:type="dxa"/>
                  <w:noWrap w:val="0"/>
                  <w:vAlign w:val="center"/>
                </w:tcPr>
                <w:p w14:paraId="21F222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表2</w:t>
                  </w:r>
                </w:p>
              </w:tc>
              <w:tc>
                <w:tcPr>
                  <w:tcW w:w="930" w:type="dxa"/>
                  <w:vMerge w:val="restart"/>
                  <w:noWrap w:val="0"/>
                  <w:vAlign w:val="center"/>
                </w:tcPr>
                <w:p w14:paraId="7A4954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kern w:val="0"/>
                      <w:szCs w:val="21"/>
                      <w:highlight w:val="none"/>
                    </w:rPr>
                    <w:t>非甲烷总烃</w:t>
                  </w:r>
                </w:p>
              </w:tc>
              <w:tc>
                <w:tcPr>
                  <w:tcW w:w="1714" w:type="dxa"/>
                  <w:noWrap w:val="0"/>
                  <w:vAlign w:val="center"/>
                </w:tcPr>
                <w:p w14:paraId="47B9922B">
                  <w:pPr>
                    <w:pStyle w:val="42"/>
                    <w:keepNext w:val="0"/>
                    <w:keepLines w:val="0"/>
                    <w:pageBreakBefore w:val="0"/>
                    <w:widowControl/>
                    <w:kinsoku/>
                    <w:wordWrap/>
                    <w:overflowPunct/>
                    <w:topLinePunct w:val="0"/>
                    <w:autoSpaceDE/>
                    <w:autoSpaceDN/>
                    <w:bidi w:val="0"/>
                    <w:adjustRightInd w:val="0"/>
                    <w:snapToGrid w:val="0"/>
                    <w:spacing w:after="0" w:line="240" w:lineRule="auto"/>
                    <w:ind w:left="0" w:leftChars="0" w:right="-110" w:rightChars="-50" w:firstLine="0" w:firstLineChars="0"/>
                    <w:jc w:val="both"/>
                    <w:textAlignment w:val="auto"/>
                    <w:rPr>
                      <w:rFonts w:hint="default" w:ascii="Times New Roman" w:hAnsi="Times New Roman" w:eastAsia="宋体" w:cs="Times New Roman"/>
                      <w:b w:val="0"/>
                      <w:bCs w:val="0"/>
                      <w:sz w:val="22"/>
                      <w:szCs w:val="22"/>
                      <w:highlight w:val="none"/>
                      <w:lang w:val="en-US" w:eastAsia="zh-CN" w:bidi="ar-SA"/>
                    </w:rPr>
                  </w:pPr>
                  <w:r>
                    <w:rPr>
                      <w:rFonts w:hint="default" w:ascii="Times New Roman" w:hAnsi="Times New Roman" w:eastAsia="宋体" w:cs="Times New Roman"/>
                      <w:b w:val="0"/>
                      <w:bCs w:val="0"/>
                      <w:sz w:val="22"/>
                      <w:szCs w:val="22"/>
                      <w:highlight w:val="none"/>
                      <w:lang w:val="en-US" w:eastAsia="zh-CN" w:bidi="ar-SA"/>
                    </w:rPr>
                    <w:t>排放速率10kg/h</w:t>
                  </w:r>
                </w:p>
              </w:tc>
            </w:tr>
            <w:tr w14:paraId="088C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noWrap w:val="0"/>
                  <w:vAlign w:val="center"/>
                </w:tcPr>
                <w:p w14:paraId="1B68C9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p>
              </w:tc>
              <w:tc>
                <w:tcPr>
                  <w:tcW w:w="2547" w:type="dxa"/>
                  <w:gridSpan w:val="2"/>
                  <w:noWrap w:val="0"/>
                  <w:vAlign w:val="center"/>
                </w:tcPr>
                <w:p w14:paraId="680FB3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《关于全省开展工业企业挥发性有机物专项治理工作中排放建议值的通知》（豫环攻坚办〔2017〕162号）排放标准</w:t>
                  </w:r>
                </w:p>
              </w:tc>
              <w:tc>
                <w:tcPr>
                  <w:tcW w:w="537" w:type="dxa"/>
                  <w:noWrap w:val="0"/>
                  <w:vAlign w:val="center"/>
                </w:tcPr>
                <w:p w14:paraId="02A288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w:t>
                  </w:r>
                </w:p>
              </w:tc>
              <w:tc>
                <w:tcPr>
                  <w:tcW w:w="930" w:type="dxa"/>
                  <w:vMerge w:val="continue"/>
                  <w:noWrap w:val="0"/>
                  <w:vAlign w:val="center"/>
                </w:tcPr>
                <w:p w14:paraId="2B8A46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p>
              </w:tc>
              <w:tc>
                <w:tcPr>
                  <w:tcW w:w="1714" w:type="dxa"/>
                  <w:noWrap w:val="0"/>
                  <w:vAlign w:val="center"/>
                </w:tcPr>
                <w:p w14:paraId="4C24D22C">
                  <w:pPr>
                    <w:pStyle w:val="51"/>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szCs w:val="21"/>
                      <w:highlight w:val="none"/>
                      <w:vertAlign w:val="superscript"/>
                    </w:rPr>
                  </w:pPr>
                  <w:r>
                    <w:rPr>
                      <w:rFonts w:hint="default" w:ascii="Times New Roman" w:hAnsi="Times New Roman" w:eastAsia="宋体" w:cs="Times New Roman"/>
                      <w:b w:val="0"/>
                      <w:szCs w:val="21"/>
                      <w:highlight w:val="none"/>
                    </w:rPr>
                    <w:t>其他行业工业：80mg/m</w:t>
                  </w:r>
                  <w:r>
                    <w:rPr>
                      <w:rFonts w:hint="default" w:ascii="Times New Roman" w:hAnsi="Times New Roman" w:eastAsia="宋体" w:cs="Times New Roman"/>
                      <w:b w:val="0"/>
                      <w:szCs w:val="21"/>
                      <w:highlight w:val="none"/>
                      <w:vertAlign w:val="superscript"/>
                    </w:rPr>
                    <w:t>3</w:t>
                  </w:r>
                </w:p>
                <w:p w14:paraId="4325B72D">
                  <w:pPr>
                    <w:pStyle w:val="51"/>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bCs/>
                      <w:szCs w:val="21"/>
                      <w:highlight w:val="none"/>
                      <w:vertAlign w:val="superscript"/>
                    </w:rPr>
                  </w:pPr>
                  <w:r>
                    <w:rPr>
                      <w:rFonts w:hint="default" w:ascii="Times New Roman" w:hAnsi="Times New Roman" w:eastAsia="宋体" w:cs="Times New Roman"/>
                      <w:b w:val="0"/>
                      <w:szCs w:val="21"/>
                      <w:highlight w:val="none"/>
                    </w:rPr>
                    <w:t>（建议去除率70%）</w:t>
                  </w:r>
                  <w:r>
                    <w:rPr>
                      <w:rFonts w:hint="default" w:ascii="Times New Roman" w:hAnsi="Times New Roman" w:eastAsia="宋体" w:cs="Times New Roman"/>
                      <w:b w:val="0"/>
                      <w:bCs/>
                      <w:szCs w:val="21"/>
                      <w:highlight w:val="none"/>
                    </w:rPr>
                    <w:t>2.0mg/m</w:t>
                  </w:r>
                  <w:r>
                    <w:rPr>
                      <w:rFonts w:hint="default" w:ascii="Times New Roman" w:hAnsi="Times New Roman" w:eastAsia="宋体" w:cs="Times New Roman"/>
                      <w:b w:val="0"/>
                      <w:bCs/>
                      <w:szCs w:val="21"/>
                      <w:highlight w:val="none"/>
                      <w:vertAlign w:val="superscript"/>
                    </w:rPr>
                    <w:t>3</w:t>
                  </w:r>
                </w:p>
                <w:p w14:paraId="277490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bCs/>
                      <w:szCs w:val="21"/>
                      <w:highlight w:val="none"/>
                    </w:rPr>
                    <w:t>（工业企业边界）</w:t>
                  </w:r>
                </w:p>
              </w:tc>
            </w:tr>
          </w:tbl>
          <w:p w14:paraId="4A9EDB81">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14:paraId="32215328">
            <w:pPr>
              <w:keepNext/>
              <w:keepLines/>
              <w:pageBreakBefore w:val="0"/>
              <w:widowControl/>
              <w:kinsoku/>
              <w:wordWrap/>
              <w:overflowPunct/>
              <w:topLinePunct w:val="0"/>
              <w:autoSpaceDE/>
              <w:autoSpaceDN/>
              <w:bidi w:val="0"/>
              <w:adjustRightInd w:val="0"/>
              <w:snapToGrid w:val="0"/>
              <w:spacing w:before="0" w:after="0" w:afterLines="0" w:line="520" w:lineRule="exact"/>
              <w:ind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p>
          <w:p w14:paraId="25353DEA">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3</w:t>
            </w:r>
            <w:r>
              <w:rPr>
                <w:rFonts w:hint="default" w:ascii="Times New Roman" w:hAnsi="Times New Roman" w:cs="Times New Roman" w:eastAsiaTheme="minorEastAsia"/>
                <w:b/>
                <w:bCs/>
                <w:color w:val="auto"/>
                <w:kern w:val="2"/>
                <w:sz w:val="21"/>
                <w:szCs w:val="21"/>
                <w:lang w:val="en-US" w:eastAsia="zh-CN" w:bidi="ar-SA"/>
              </w:rPr>
              <w:t xml:space="preserve"> 废</w:t>
            </w:r>
            <w:r>
              <w:rPr>
                <w:rFonts w:hint="eastAsia" w:ascii="Times New Roman" w:hAnsi="Times New Roman" w:cs="Times New Roman" w:eastAsiaTheme="minorEastAsia"/>
                <w:b/>
                <w:bCs/>
                <w:color w:val="auto"/>
                <w:kern w:val="2"/>
                <w:sz w:val="21"/>
                <w:szCs w:val="21"/>
                <w:lang w:val="en-US" w:eastAsia="zh-CN" w:bidi="ar-SA"/>
              </w:rPr>
              <w:t>水</w:t>
            </w:r>
            <w:r>
              <w:rPr>
                <w:rFonts w:hint="default" w:ascii="Times New Roman" w:hAnsi="Times New Roman" w:cs="Times New Roman" w:eastAsiaTheme="minorEastAsia"/>
                <w:b/>
                <w:bCs/>
                <w:color w:val="auto"/>
                <w:kern w:val="2"/>
                <w:sz w:val="21"/>
                <w:szCs w:val="21"/>
                <w:lang w:val="en-US" w:eastAsia="zh-CN" w:bidi="ar-SA"/>
              </w:rPr>
              <w:t>污染物排放执行标准</w:t>
            </w:r>
          </w:p>
          <w:tbl>
            <w:tblPr>
              <w:tblStyle w:val="31"/>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14:paraId="7D87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shd w:val="clear" w:color="auto" w:fill="auto"/>
                  <w:vAlign w:val="center"/>
                </w:tcPr>
                <w:p w14:paraId="3517CFD1">
                  <w:pPr>
                    <w:pStyle w:val="48"/>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14:paraId="30D836E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污染因子</w:t>
                  </w:r>
                </w:p>
              </w:tc>
              <w:tc>
                <w:tcPr>
                  <w:tcW w:w="2609" w:type="dxa"/>
                  <w:shd w:val="clear" w:color="auto" w:fill="auto"/>
                  <w:vAlign w:val="center"/>
                </w:tcPr>
                <w:p w14:paraId="2F1FDF0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14:paraId="683D50C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排放浓度</w:t>
                  </w:r>
                </w:p>
              </w:tc>
            </w:tr>
            <w:tr w14:paraId="15B2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restart"/>
                  <w:vAlign w:val="center"/>
                </w:tcPr>
                <w:p w14:paraId="243CBFE7">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综合废水</w:t>
                  </w:r>
                </w:p>
              </w:tc>
              <w:tc>
                <w:tcPr>
                  <w:tcW w:w="1164" w:type="dxa"/>
                  <w:vAlign w:val="center"/>
                </w:tcPr>
                <w:p w14:paraId="7ECEA28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pH</w:t>
                  </w:r>
                </w:p>
              </w:tc>
              <w:tc>
                <w:tcPr>
                  <w:tcW w:w="2609" w:type="dxa"/>
                  <w:vMerge w:val="restart"/>
                  <w:vAlign w:val="center"/>
                </w:tcPr>
                <w:p w14:paraId="46EE311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长垣市</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常源污水处理厂收水标准</w:t>
                  </w:r>
                </w:p>
              </w:tc>
              <w:tc>
                <w:tcPr>
                  <w:tcW w:w="2010" w:type="dxa"/>
                  <w:vAlign w:val="center"/>
                </w:tcPr>
                <w:p w14:paraId="5B748CC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6-9</w:t>
                  </w:r>
                </w:p>
              </w:tc>
            </w:tr>
            <w:tr w14:paraId="237C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42164AD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127166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COD</w:t>
                  </w:r>
                </w:p>
              </w:tc>
              <w:tc>
                <w:tcPr>
                  <w:tcW w:w="2609" w:type="dxa"/>
                  <w:vMerge w:val="continue"/>
                  <w:vAlign w:val="center"/>
                </w:tcPr>
                <w:p w14:paraId="30959EB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2FD39F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3000mg/L</w:t>
                  </w:r>
                </w:p>
              </w:tc>
            </w:tr>
            <w:tr w14:paraId="099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3384565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4929DC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BOD</w:t>
                  </w:r>
                  <w:r>
                    <w:rPr>
                      <w:rFonts w:hint="default" w:ascii="Times New Roman" w:hAnsi="Times New Roman" w:cs="Times New Roman"/>
                      <w:highlight w:val="none"/>
                      <w:vertAlign w:val="subscript"/>
                    </w:rPr>
                    <w:t>5</w:t>
                  </w:r>
                </w:p>
              </w:tc>
              <w:tc>
                <w:tcPr>
                  <w:tcW w:w="2609" w:type="dxa"/>
                  <w:vMerge w:val="continue"/>
                  <w:vAlign w:val="center"/>
                </w:tcPr>
                <w:p w14:paraId="1815454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9E099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500mg/L</w:t>
                  </w:r>
                </w:p>
              </w:tc>
            </w:tr>
            <w:tr w14:paraId="277E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5D522CC">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AE7CC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NH</w:t>
                  </w:r>
                  <w:r>
                    <w:rPr>
                      <w:rFonts w:hint="default" w:ascii="Times New Roman" w:hAnsi="Times New Roman" w:cs="Times New Roman"/>
                      <w:highlight w:val="none"/>
                      <w:vertAlign w:val="subscript"/>
                    </w:rPr>
                    <w:t>3</w:t>
                  </w:r>
                  <w:r>
                    <w:rPr>
                      <w:rFonts w:hint="default" w:ascii="Times New Roman" w:hAnsi="Times New Roman" w:cs="Times New Roman"/>
                      <w:highlight w:val="none"/>
                    </w:rPr>
                    <w:t>-N</w:t>
                  </w:r>
                </w:p>
              </w:tc>
              <w:tc>
                <w:tcPr>
                  <w:tcW w:w="2609" w:type="dxa"/>
                  <w:vMerge w:val="continue"/>
                  <w:vAlign w:val="center"/>
                </w:tcPr>
                <w:p w14:paraId="348AB13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1D6261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30mg/L</w:t>
                  </w:r>
                </w:p>
              </w:tc>
            </w:tr>
            <w:tr w14:paraId="27FA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52B9C4F4">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01B35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SS</w:t>
                  </w:r>
                </w:p>
              </w:tc>
              <w:tc>
                <w:tcPr>
                  <w:tcW w:w="2609" w:type="dxa"/>
                  <w:vMerge w:val="continue"/>
                  <w:vAlign w:val="center"/>
                </w:tcPr>
                <w:p w14:paraId="7ADA748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377C67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220mg/L</w:t>
                  </w:r>
                </w:p>
              </w:tc>
            </w:tr>
            <w:tr w14:paraId="0DF5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A027B5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03BF92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TN</w:t>
                  </w:r>
                </w:p>
              </w:tc>
              <w:tc>
                <w:tcPr>
                  <w:tcW w:w="2609" w:type="dxa"/>
                  <w:vMerge w:val="continue"/>
                  <w:vAlign w:val="center"/>
                </w:tcPr>
                <w:p w14:paraId="61AE063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563DD7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65mg/L</w:t>
                  </w:r>
                </w:p>
              </w:tc>
            </w:tr>
            <w:tr w14:paraId="36D5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7813D4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2D5E7F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TP</w:t>
                  </w:r>
                </w:p>
              </w:tc>
              <w:tc>
                <w:tcPr>
                  <w:tcW w:w="2609" w:type="dxa"/>
                  <w:vMerge w:val="continue"/>
                  <w:vAlign w:val="center"/>
                </w:tcPr>
                <w:p w14:paraId="16A9A64F">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286DC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highlight w:val="none"/>
                    </w:rPr>
                    <w:t>6mg/L</w:t>
                  </w:r>
                </w:p>
              </w:tc>
            </w:tr>
          </w:tbl>
          <w:p w14:paraId="39CE17F4">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宋体" w:hAnsi="宋体" w:eastAsia="宋体" w:cs="宋体"/>
                <w:b w:val="0"/>
                <w:bCs w:val="0"/>
                <w:color w:val="auto"/>
                <w:sz w:val="24"/>
                <w:szCs w:val="24"/>
                <w:u w:val="none"/>
                <w:lang w:val="en-US" w:eastAsia="zh-CN"/>
              </w:rPr>
            </w:pPr>
            <w:r>
              <w:rPr>
                <w:rFonts w:hint="eastAsia" w:ascii="宋体" w:hAnsi="宋体" w:eastAsia="宋体" w:cs="宋体"/>
                <w:b w:val="0"/>
                <w:bCs w:val="0"/>
                <w:highlight w:val="none"/>
                <w:u w:val="none"/>
              </w:rPr>
              <w:t>注：本项目生产废水经园区专用污水管网排至常源污水处理厂，常源污水处理厂收水标准来源于《长垣县常源污水处理有限公司长垣县常源污水处理项目环境影响报告书》，</w:t>
            </w:r>
            <w:r>
              <w:rPr>
                <w:rFonts w:hint="eastAsia" w:ascii="宋体" w:hAnsi="宋体" w:eastAsia="宋体" w:cs="宋体"/>
                <w:b w:val="0"/>
                <w:bCs w:val="0"/>
                <w:highlight w:val="none"/>
                <w:u w:val="none"/>
                <w:lang w:val="en-US" w:eastAsia="zh-CN"/>
              </w:rPr>
              <w:t>及与本公司签署的</w:t>
            </w:r>
            <w:r>
              <w:rPr>
                <w:rFonts w:hint="eastAsia" w:ascii="宋体" w:hAnsi="宋体" w:eastAsia="宋体" w:cs="宋体"/>
                <w:b w:val="0"/>
                <w:bCs w:val="0"/>
                <w:highlight w:val="none"/>
                <w:u w:val="none"/>
              </w:rPr>
              <w:t>收水协议</w:t>
            </w:r>
            <w:r>
              <w:rPr>
                <w:rFonts w:hint="eastAsia" w:ascii="宋体" w:hAnsi="宋体" w:eastAsia="宋体" w:cs="宋体"/>
                <w:b w:val="0"/>
                <w:bCs w:val="0"/>
                <w:highlight w:val="none"/>
                <w:u w:val="none"/>
                <w:lang w:eastAsia="zh-CN"/>
              </w:rPr>
              <w:t>，</w:t>
            </w:r>
            <w:r>
              <w:rPr>
                <w:rFonts w:hint="eastAsia" w:ascii="宋体" w:hAnsi="宋体" w:eastAsia="宋体" w:cs="宋体"/>
                <w:b w:val="0"/>
                <w:bCs w:val="0"/>
                <w:highlight w:val="none"/>
                <w:u w:val="none"/>
              </w:rPr>
              <w:t>见附件</w:t>
            </w:r>
            <w:r>
              <w:rPr>
                <w:rFonts w:hint="eastAsia" w:ascii="宋体" w:hAnsi="宋体" w:eastAsia="宋体" w:cs="宋体"/>
                <w:b w:val="0"/>
                <w:bCs w:val="0"/>
                <w:highlight w:val="none"/>
                <w:u w:val="none"/>
                <w:lang w:val="en-US" w:eastAsia="zh-CN"/>
              </w:rPr>
              <w:t>4。</w:t>
            </w:r>
          </w:p>
          <w:p w14:paraId="7489A8FF">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3591445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一般固废执行《一般工业固体废物贮存和填埋污染控制标准》GB18599-2020；</w:t>
            </w:r>
          </w:p>
          <w:p w14:paraId="471FAEF2">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危险废物执行《危险废物贮存污染控制标准》GB18597- 20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eastAsia"/>
                <w:lang w:val="en-US" w:eastAsia="zh-CN"/>
              </w:rPr>
              <w:t>。</w:t>
            </w:r>
          </w:p>
        </w:tc>
      </w:tr>
    </w:tbl>
    <w:p w14:paraId="4448140C">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3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FD2B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0" w:hRule="atLeast"/>
          <w:jc w:val="center"/>
        </w:trPr>
        <w:tc>
          <w:tcPr>
            <w:tcW w:w="8946" w:type="dxa"/>
            <w:vAlign w:val="top"/>
          </w:tcPr>
          <w:p w14:paraId="55E88768">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46980B8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4</w:t>
            </w:r>
            <w:r>
              <w:rPr>
                <w:rFonts w:hint="default" w:ascii="Times New Roman" w:hAnsi="Times New Roman" w:cs="Times New Roman" w:eastAsiaTheme="minorEastAsia"/>
                <w:b/>
                <w:bCs/>
                <w:color w:val="auto"/>
                <w:kern w:val="2"/>
                <w:sz w:val="21"/>
                <w:szCs w:val="21"/>
                <w:lang w:val="en-US" w:eastAsia="zh-CN" w:bidi="ar-SA"/>
              </w:rPr>
              <w:t xml:space="preserve"> 本项目基本情况表</w:t>
            </w:r>
          </w:p>
          <w:tbl>
            <w:tblPr>
              <w:tblStyle w:val="30"/>
              <w:tblW w:w="85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792"/>
              <w:gridCol w:w="6046"/>
            </w:tblGrid>
            <w:tr w14:paraId="2FF21F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18B165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792" w:type="dxa"/>
                  <w:tcBorders>
                    <w:tl2br w:val="nil"/>
                    <w:tr2bl w:val="nil"/>
                  </w:tcBorders>
                  <w:vAlign w:val="center"/>
                </w:tcPr>
                <w:p w14:paraId="0B338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名称</w:t>
                  </w:r>
                </w:p>
              </w:tc>
              <w:tc>
                <w:tcPr>
                  <w:tcW w:w="6046" w:type="dxa"/>
                  <w:tcBorders>
                    <w:tl2br w:val="nil"/>
                    <w:tr2bl w:val="nil"/>
                  </w:tcBorders>
                  <w:vAlign w:val="center"/>
                </w:tcPr>
                <w:p w14:paraId="74D353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内容</w:t>
                  </w:r>
                </w:p>
              </w:tc>
            </w:tr>
            <w:tr w14:paraId="12E8DE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B65AC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792" w:type="dxa"/>
                  <w:tcBorders>
                    <w:tl2br w:val="nil"/>
                    <w:tr2bl w:val="nil"/>
                  </w:tcBorders>
                  <w:vAlign w:val="center"/>
                </w:tcPr>
                <w:p w14:paraId="11DE8D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工程名称</w:t>
                  </w:r>
                </w:p>
              </w:tc>
              <w:tc>
                <w:tcPr>
                  <w:tcW w:w="6046" w:type="dxa"/>
                  <w:tcBorders>
                    <w:tl2br w:val="nil"/>
                    <w:tr2bl w:val="nil"/>
                  </w:tcBorders>
                  <w:vAlign w:val="center"/>
                </w:tcPr>
                <w:p w14:paraId="02560F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年产1500吨豆制品项目</w:t>
                  </w:r>
                </w:p>
              </w:tc>
            </w:tr>
            <w:tr w14:paraId="7E5F39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D32DC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792" w:type="dxa"/>
                  <w:tcBorders>
                    <w:tl2br w:val="nil"/>
                    <w:tr2bl w:val="nil"/>
                  </w:tcBorders>
                  <w:vAlign w:val="center"/>
                </w:tcPr>
                <w:p w14:paraId="06D6CD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建设项目</w:t>
                  </w:r>
                </w:p>
              </w:tc>
              <w:tc>
                <w:tcPr>
                  <w:tcW w:w="6046" w:type="dxa"/>
                  <w:tcBorders>
                    <w:tl2br w:val="nil"/>
                    <w:tr2bl w:val="nil"/>
                  </w:tcBorders>
                  <w:vAlign w:val="center"/>
                </w:tcPr>
                <w:p w14:paraId="4D62BF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新建</w:t>
                  </w:r>
                </w:p>
              </w:tc>
            </w:tr>
            <w:tr w14:paraId="0F5B71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2CC977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792" w:type="dxa"/>
                  <w:tcBorders>
                    <w:tl2br w:val="nil"/>
                    <w:tr2bl w:val="nil"/>
                  </w:tcBorders>
                  <w:vAlign w:val="center"/>
                </w:tcPr>
                <w:p w14:paraId="4AD446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建设地点</w:t>
                  </w:r>
                </w:p>
              </w:tc>
              <w:tc>
                <w:tcPr>
                  <w:tcW w:w="6046" w:type="dxa"/>
                  <w:tcBorders>
                    <w:tl2br w:val="nil"/>
                    <w:tr2bl w:val="nil"/>
                  </w:tcBorders>
                  <w:vAlign w:val="center"/>
                </w:tcPr>
                <w:p w14:paraId="172122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长垣市常村镇纬一路与经四路交叉口西100米路北1号</w:t>
                  </w:r>
                </w:p>
              </w:tc>
            </w:tr>
            <w:tr w14:paraId="6D3495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6701D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792" w:type="dxa"/>
                  <w:tcBorders>
                    <w:tl2br w:val="nil"/>
                    <w:tr2bl w:val="nil"/>
                  </w:tcBorders>
                  <w:vAlign w:val="center"/>
                </w:tcPr>
                <w:p w14:paraId="70616A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占地面积</w:t>
                  </w:r>
                </w:p>
              </w:tc>
              <w:tc>
                <w:tcPr>
                  <w:tcW w:w="6046" w:type="dxa"/>
                  <w:tcBorders>
                    <w:tl2br w:val="nil"/>
                    <w:tr2bl w:val="nil"/>
                  </w:tcBorders>
                  <w:vAlign w:val="center"/>
                </w:tcPr>
                <w:p w14:paraId="40B84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6240m</w:t>
                  </w:r>
                  <w:r>
                    <w:rPr>
                      <w:rFonts w:hint="default" w:ascii="Times New Roman" w:hAnsi="Times New Roman" w:eastAsia="宋体" w:cs="Times New Roman"/>
                      <w:szCs w:val="21"/>
                      <w:highlight w:val="none"/>
                      <w:vertAlign w:val="superscript"/>
                    </w:rPr>
                    <w:t>2</w:t>
                  </w:r>
                </w:p>
              </w:tc>
            </w:tr>
            <w:tr w14:paraId="1C7C0E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703D8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792" w:type="dxa"/>
                  <w:tcBorders>
                    <w:tl2br w:val="nil"/>
                    <w:tr2bl w:val="nil"/>
                  </w:tcBorders>
                  <w:vAlign w:val="center"/>
                </w:tcPr>
                <w:p w14:paraId="57BEB6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总投资</w:t>
                  </w:r>
                </w:p>
              </w:tc>
              <w:tc>
                <w:tcPr>
                  <w:tcW w:w="6046" w:type="dxa"/>
                  <w:tcBorders>
                    <w:tl2br w:val="nil"/>
                    <w:tr2bl w:val="nil"/>
                  </w:tcBorders>
                  <w:vAlign w:val="center"/>
                </w:tcPr>
                <w:p w14:paraId="4753DE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1000万元</w:t>
                  </w:r>
                </w:p>
              </w:tc>
            </w:tr>
            <w:tr w14:paraId="57B9D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4ED1B5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792" w:type="dxa"/>
                  <w:tcBorders>
                    <w:tl2br w:val="nil"/>
                    <w:tr2bl w:val="nil"/>
                  </w:tcBorders>
                  <w:vAlign w:val="center"/>
                </w:tcPr>
                <w:p w14:paraId="5DC0B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劳动定员</w:t>
                  </w:r>
                </w:p>
              </w:tc>
              <w:tc>
                <w:tcPr>
                  <w:tcW w:w="6046" w:type="dxa"/>
                  <w:tcBorders>
                    <w:tl2br w:val="nil"/>
                    <w:tr2bl w:val="nil"/>
                  </w:tcBorders>
                  <w:vAlign w:val="center"/>
                </w:tcPr>
                <w:p w14:paraId="60D954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劳动定员12人</w:t>
                  </w:r>
                </w:p>
              </w:tc>
            </w:tr>
            <w:tr w14:paraId="34749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231C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792" w:type="dxa"/>
                  <w:tcBorders>
                    <w:tl2br w:val="nil"/>
                    <w:tr2bl w:val="nil"/>
                  </w:tcBorders>
                  <w:vAlign w:val="center"/>
                </w:tcPr>
                <w:p w14:paraId="24C3E6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工作制度</w:t>
                  </w:r>
                </w:p>
              </w:tc>
              <w:tc>
                <w:tcPr>
                  <w:tcW w:w="6046" w:type="dxa"/>
                  <w:tcBorders>
                    <w:tl2br w:val="nil"/>
                    <w:tr2bl w:val="nil"/>
                  </w:tcBorders>
                  <w:vAlign w:val="center"/>
                </w:tcPr>
                <w:p w14:paraId="75F8D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1班制 一天8小时，年有效工作日300天</w:t>
                  </w:r>
                </w:p>
              </w:tc>
            </w:tr>
          </w:tbl>
          <w:p w14:paraId="246B4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eastAsiaTheme="minorEastAsia"/>
                <w:b/>
                <w:bCs/>
                <w:color w:val="auto"/>
                <w:kern w:val="2"/>
                <w:sz w:val="21"/>
                <w:szCs w:val="21"/>
                <w:highlight w:val="none"/>
                <w:lang w:val="en-US" w:eastAsia="zh-CN" w:bidi="ar-SA"/>
              </w:rPr>
              <w:t>表</w:t>
            </w:r>
            <w:r>
              <w:rPr>
                <w:rFonts w:hint="eastAsia" w:ascii="Times New Roman" w:hAnsi="Times New Roman" w:cs="Times New Roman" w:eastAsiaTheme="minorEastAsia"/>
                <w:b/>
                <w:bCs/>
                <w:color w:val="auto"/>
                <w:kern w:val="2"/>
                <w:sz w:val="21"/>
                <w:szCs w:val="21"/>
                <w:highlight w:val="none"/>
                <w:lang w:val="en-US" w:eastAsia="zh-CN" w:bidi="ar-SA"/>
              </w:rPr>
              <w:t>5</w:t>
            </w:r>
            <w:r>
              <w:rPr>
                <w:rFonts w:hint="default" w:ascii="Times New Roman" w:hAnsi="Times New Roman" w:cs="Times New Roman" w:eastAsiaTheme="minorEastAsia"/>
                <w:b/>
                <w:bCs/>
                <w:color w:val="auto"/>
                <w:kern w:val="2"/>
                <w:sz w:val="21"/>
                <w:szCs w:val="21"/>
                <w:highlight w:val="none"/>
                <w:lang w:val="en-US" w:eastAsia="zh-CN" w:bidi="ar-SA"/>
              </w:rPr>
              <w:t xml:space="preserve"> 项目实际建设情况一览表</w:t>
            </w:r>
          </w:p>
          <w:tbl>
            <w:tblPr>
              <w:tblStyle w:val="30"/>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8"/>
              <w:gridCol w:w="707"/>
              <w:gridCol w:w="10"/>
              <w:gridCol w:w="756"/>
              <w:gridCol w:w="1626"/>
              <w:gridCol w:w="1360"/>
              <w:gridCol w:w="1433"/>
              <w:gridCol w:w="1022"/>
              <w:gridCol w:w="1120"/>
            </w:tblGrid>
            <w:tr w14:paraId="3BD8DC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tcBorders>
                    <w:tl2br w:val="nil"/>
                    <w:tr2bl w:val="nil"/>
                  </w:tcBorders>
                  <w:vAlign w:val="center"/>
                </w:tcPr>
                <w:p w14:paraId="1C3607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项目类别</w:t>
                  </w:r>
                </w:p>
              </w:tc>
              <w:tc>
                <w:tcPr>
                  <w:tcW w:w="1473" w:type="dxa"/>
                  <w:gridSpan w:val="3"/>
                  <w:tcBorders>
                    <w:tl2br w:val="nil"/>
                    <w:tr2bl w:val="nil"/>
                  </w:tcBorders>
                  <w:vAlign w:val="center"/>
                </w:tcPr>
                <w:p w14:paraId="16B7D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项目内容</w:t>
                  </w:r>
                </w:p>
              </w:tc>
              <w:tc>
                <w:tcPr>
                  <w:tcW w:w="2986" w:type="dxa"/>
                  <w:gridSpan w:val="2"/>
                  <w:tcBorders>
                    <w:tl2br w:val="nil"/>
                    <w:tr2bl w:val="nil"/>
                  </w:tcBorders>
                  <w:vAlign w:val="center"/>
                </w:tcPr>
                <w:p w14:paraId="5B541B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环评阶段计划建设内容</w:t>
                  </w:r>
                </w:p>
              </w:tc>
              <w:tc>
                <w:tcPr>
                  <w:tcW w:w="2455" w:type="dxa"/>
                  <w:gridSpan w:val="2"/>
                  <w:tcBorders>
                    <w:tl2br w:val="nil"/>
                    <w:tr2bl w:val="nil"/>
                  </w:tcBorders>
                  <w:vAlign w:val="center"/>
                </w:tcPr>
                <w:p w14:paraId="41631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实际建设内容</w:t>
                  </w:r>
                </w:p>
              </w:tc>
              <w:tc>
                <w:tcPr>
                  <w:tcW w:w="1120" w:type="dxa"/>
                  <w:tcBorders>
                    <w:tl2br w:val="nil"/>
                    <w:tr2bl w:val="nil"/>
                  </w:tcBorders>
                  <w:vAlign w:val="center"/>
                </w:tcPr>
                <w:p w14:paraId="50005C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3B162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58" w:type="dxa"/>
                  <w:tcBorders>
                    <w:tl2br w:val="nil"/>
                    <w:tr2bl w:val="nil"/>
                  </w:tcBorders>
                  <w:vAlign w:val="center"/>
                </w:tcPr>
                <w:p w14:paraId="054C91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473" w:type="dxa"/>
                  <w:gridSpan w:val="3"/>
                  <w:tcBorders>
                    <w:tl2br w:val="nil"/>
                    <w:tr2bl w:val="nil"/>
                  </w:tcBorders>
                  <w:vAlign w:val="center"/>
                </w:tcPr>
                <w:p w14:paraId="50167560">
                  <w:pPr>
                    <w:pStyle w:val="52"/>
                    <w:textAlignment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生产车间</w:t>
                  </w:r>
                </w:p>
              </w:tc>
              <w:tc>
                <w:tcPr>
                  <w:tcW w:w="2986" w:type="dxa"/>
                  <w:gridSpan w:val="2"/>
                  <w:tcBorders>
                    <w:tl2br w:val="nil"/>
                    <w:tr2bl w:val="nil"/>
                  </w:tcBorders>
                  <w:vAlign w:val="center"/>
                </w:tcPr>
                <w:p w14:paraId="1A6BCB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建筑面积5460m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，1层，主要用于糖纳豆和豆沙馅生产及原材料存放和成品存放。</w:t>
                  </w:r>
                </w:p>
              </w:tc>
              <w:tc>
                <w:tcPr>
                  <w:tcW w:w="2455" w:type="dxa"/>
                  <w:gridSpan w:val="2"/>
                  <w:tcBorders>
                    <w:tl2br w:val="nil"/>
                    <w:tr2bl w:val="nil"/>
                  </w:tcBorders>
                  <w:vAlign w:val="center"/>
                </w:tcPr>
                <w:p w14:paraId="60E9F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建筑面积5460m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sz w:val="21"/>
                      <w:szCs w:val="21"/>
                      <w:lang w:val="en-US" w:eastAsia="zh-CN"/>
                    </w:rPr>
                    <w:t>，1层，主要用于糖纳豆和豆沙馅生产及原材料存放和成品存放。</w:t>
                  </w:r>
                </w:p>
              </w:tc>
              <w:tc>
                <w:tcPr>
                  <w:tcW w:w="1120" w:type="dxa"/>
                  <w:tcBorders>
                    <w:tl2br w:val="nil"/>
                    <w:tr2bl w:val="nil"/>
                  </w:tcBorders>
                  <w:vAlign w:val="center"/>
                </w:tcPr>
                <w:p w14:paraId="09D8ED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4DA54A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restart"/>
                  <w:tcBorders>
                    <w:tl2br w:val="nil"/>
                    <w:tr2bl w:val="nil"/>
                  </w:tcBorders>
                  <w:vAlign w:val="center"/>
                </w:tcPr>
                <w:p w14:paraId="62709C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707" w:type="dxa"/>
                  <w:tcBorders>
                    <w:right w:val="single" w:color="auto" w:sz="4" w:space="0"/>
                    <w:tl2br w:val="nil"/>
                    <w:tr2bl w:val="nil"/>
                  </w:tcBorders>
                  <w:vAlign w:val="center"/>
                </w:tcPr>
                <w:p w14:paraId="18B8C6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766" w:type="dxa"/>
                  <w:gridSpan w:val="2"/>
                  <w:tcBorders>
                    <w:left w:val="single" w:color="auto" w:sz="4" w:space="0"/>
                    <w:tl2br w:val="nil"/>
                    <w:tr2bl w:val="nil"/>
                  </w:tcBorders>
                  <w:shd w:val="clear" w:color="auto" w:fill="auto"/>
                  <w:vAlign w:val="center"/>
                </w:tcPr>
                <w:p w14:paraId="7248D5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eastAsiaTheme="minorEastAsia"/>
                      <w:sz w:val="21"/>
                      <w:szCs w:val="21"/>
                      <w:lang w:val="en-US" w:eastAsia="zh-CN"/>
                    </w:rPr>
                    <w:t>封口废气</w:t>
                  </w:r>
                </w:p>
              </w:tc>
              <w:tc>
                <w:tcPr>
                  <w:tcW w:w="2986" w:type="dxa"/>
                  <w:gridSpan w:val="2"/>
                  <w:tcBorders>
                    <w:tl2br w:val="nil"/>
                    <w:tr2bl w:val="nil"/>
                  </w:tcBorders>
                  <w:shd w:val="clear" w:color="auto" w:fill="auto"/>
                  <w:vAlign w:val="center"/>
                </w:tcPr>
                <w:p w14:paraId="19C70C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eastAsiaTheme="minorEastAsia"/>
                      <w:sz w:val="21"/>
                      <w:szCs w:val="21"/>
                      <w:lang w:val="en-US" w:eastAsia="zh-CN"/>
                    </w:rPr>
                    <w:t>经集气装置收集后引至“UV光催化+活性炭吸附”进行处理，最终由1根15m排气筒排放</w:t>
                  </w:r>
                </w:p>
              </w:tc>
              <w:tc>
                <w:tcPr>
                  <w:tcW w:w="2455" w:type="dxa"/>
                  <w:gridSpan w:val="2"/>
                  <w:tcBorders>
                    <w:tl2br w:val="nil"/>
                    <w:tr2bl w:val="nil"/>
                  </w:tcBorders>
                  <w:vAlign w:val="center"/>
                </w:tcPr>
                <w:p w14:paraId="0BE8E0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eastAsiaTheme="minorEastAsia"/>
                      <w:sz w:val="21"/>
                      <w:szCs w:val="21"/>
                      <w:lang w:val="en-US" w:eastAsia="zh-CN"/>
                    </w:rPr>
                    <w:t>经集气装置收集后引至“二级活性炭吸附”进行处理，最终由1根15m排气筒排放</w:t>
                  </w:r>
                </w:p>
              </w:tc>
              <w:tc>
                <w:tcPr>
                  <w:tcW w:w="1120" w:type="dxa"/>
                  <w:tcBorders>
                    <w:tl2br w:val="nil"/>
                    <w:tr2bl w:val="nil"/>
                  </w:tcBorders>
                  <w:vAlign w:val="center"/>
                </w:tcPr>
                <w:p w14:paraId="68EFD2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将UV光催化更换为活性炭吸附装置</w:t>
                  </w:r>
                </w:p>
              </w:tc>
            </w:tr>
            <w:tr w14:paraId="1F9C3A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68E991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17" w:type="dxa"/>
                  <w:gridSpan w:val="2"/>
                  <w:vMerge w:val="restart"/>
                  <w:tcBorders>
                    <w:right w:val="single" w:color="auto" w:sz="4" w:space="0"/>
                    <w:tl2br w:val="nil"/>
                    <w:tr2bl w:val="nil"/>
                  </w:tcBorders>
                  <w:vAlign w:val="center"/>
                </w:tcPr>
                <w:p w14:paraId="3088CB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废水处理</w:t>
                  </w:r>
                </w:p>
              </w:tc>
              <w:tc>
                <w:tcPr>
                  <w:tcW w:w="756" w:type="dxa"/>
                  <w:tcBorders>
                    <w:left w:val="single" w:color="auto" w:sz="4" w:space="0"/>
                    <w:bottom w:val="single" w:color="auto" w:sz="4" w:space="0"/>
                    <w:tl2br w:val="nil"/>
                    <w:tr2bl w:val="nil"/>
                  </w:tcBorders>
                  <w:shd w:val="clear" w:color="auto" w:fill="auto"/>
                  <w:vAlign w:val="center"/>
                </w:tcPr>
                <w:p w14:paraId="4DD2F9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生活废水</w:t>
                  </w:r>
                </w:p>
              </w:tc>
              <w:tc>
                <w:tcPr>
                  <w:tcW w:w="1626" w:type="dxa"/>
                  <w:tcBorders>
                    <w:bottom w:val="single" w:color="auto" w:sz="4" w:space="0"/>
                    <w:right w:val="single" w:color="auto" w:sz="4" w:space="0"/>
                    <w:tl2br w:val="nil"/>
                    <w:tr2bl w:val="nil"/>
                  </w:tcBorders>
                  <w:shd w:val="clear" w:color="auto" w:fill="auto"/>
                  <w:vAlign w:val="center"/>
                </w:tcPr>
                <w:p w14:paraId="438415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经化粪池处理后</w:t>
                  </w:r>
                </w:p>
              </w:tc>
              <w:tc>
                <w:tcPr>
                  <w:tcW w:w="1360" w:type="dxa"/>
                  <w:vMerge w:val="restart"/>
                  <w:tcBorders>
                    <w:left w:val="single" w:color="auto" w:sz="4" w:space="0"/>
                    <w:tl2br w:val="nil"/>
                    <w:tr2bl w:val="nil"/>
                  </w:tcBorders>
                  <w:vAlign w:val="center"/>
                </w:tcPr>
                <w:p w14:paraId="49B1FF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一同排入</w:t>
                  </w: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常源污水处理厂</w:t>
                  </w:r>
                  <w:r>
                    <w:rPr>
                      <w:rFonts w:hint="default" w:ascii="Times New Roman" w:hAnsi="Times New Roman" w:cs="Times New Roman" w:eastAsiaTheme="minorEastAsia"/>
                      <w:sz w:val="21"/>
                      <w:szCs w:val="21"/>
                      <w:lang w:val="en-US" w:eastAsia="zh-CN"/>
                    </w:rPr>
                    <w:t>进一步处理</w:t>
                  </w:r>
                </w:p>
              </w:tc>
              <w:tc>
                <w:tcPr>
                  <w:tcW w:w="1433" w:type="dxa"/>
                  <w:tcBorders>
                    <w:right w:val="single" w:color="auto" w:sz="4" w:space="0"/>
                    <w:tl2br w:val="nil"/>
                    <w:tr2bl w:val="nil"/>
                  </w:tcBorders>
                  <w:shd w:val="clear" w:color="auto" w:fill="auto"/>
                  <w:vAlign w:val="center"/>
                </w:tcPr>
                <w:p w14:paraId="519731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经化粪池处理后</w:t>
                  </w:r>
                </w:p>
              </w:tc>
              <w:tc>
                <w:tcPr>
                  <w:tcW w:w="1022" w:type="dxa"/>
                  <w:vMerge w:val="restart"/>
                  <w:tcBorders>
                    <w:left w:val="single" w:color="auto" w:sz="4" w:space="0"/>
                    <w:tl2br w:val="nil"/>
                    <w:tr2bl w:val="nil"/>
                  </w:tcBorders>
                  <w:vAlign w:val="center"/>
                </w:tcPr>
                <w:p w14:paraId="6F5747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一同排入</w:t>
                  </w: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常源污水处理厂</w:t>
                  </w:r>
                  <w:r>
                    <w:rPr>
                      <w:rFonts w:hint="default" w:ascii="Times New Roman" w:hAnsi="Times New Roman" w:cs="Times New Roman" w:eastAsiaTheme="minorEastAsia"/>
                      <w:sz w:val="21"/>
                      <w:szCs w:val="21"/>
                      <w:lang w:val="en-US" w:eastAsia="zh-CN"/>
                    </w:rPr>
                    <w:t>进一步处理</w:t>
                  </w:r>
                </w:p>
              </w:tc>
              <w:tc>
                <w:tcPr>
                  <w:tcW w:w="1120" w:type="dxa"/>
                  <w:tcBorders>
                    <w:tl2br w:val="nil"/>
                    <w:tr2bl w:val="nil"/>
                  </w:tcBorders>
                  <w:vAlign w:val="center"/>
                </w:tcPr>
                <w:p w14:paraId="416713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C5DA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2B74EB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17" w:type="dxa"/>
                  <w:gridSpan w:val="2"/>
                  <w:vMerge w:val="continue"/>
                  <w:tcBorders>
                    <w:right w:val="single" w:color="auto" w:sz="4" w:space="0"/>
                    <w:tl2br w:val="nil"/>
                    <w:tr2bl w:val="nil"/>
                  </w:tcBorders>
                  <w:vAlign w:val="center"/>
                </w:tcPr>
                <w:p w14:paraId="3BF7C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56" w:type="dxa"/>
                  <w:tcBorders>
                    <w:top w:val="single" w:color="auto" w:sz="4" w:space="0"/>
                    <w:left w:val="single" w:color="auto" w:sz="4" w:space="0"/>
                    <w:tl2br w:val="nil"/>
                    <w:tr2bl w:val="nil"/>
                  </w:tcBorders>
                  <w:shd w:val="clear" w:color="auto" w:fill="auto"/>
                  <w:vAlign w:val="center"/>
                </w:tcPr>
                <w:p w14:paraId="650E39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生产</w:t>
                  </w:r>
                  <w:r>
                    <w:rPr>
                      <w:rFonts w:hint="default" w:ascii="Times New Roman" w:hAnsi="Times New Roman" w:cs="Times New Roman" w:eastAsiaTheme="minorEastAsia"/>
                      <w:sz w:val="21"/>
                      <w:szCs w:val="21"/>
                      <w:lang w:val="en-US" w:eastAsia="zh-CN"/>
                    </w:rPr>
                    <w:t>废水</w:t>
                  </w:r>
                </w:p>
              </w:tc>
              <w:tc>
                <w:tcPr>
                  <w:tcW w:w="1626" w:type="dxa"/>
                  <w:tcBorders>
                    <w:top w:val="single" w:color="auto" w:sz="4" w:space="0"/>
                    <w:right w:val="single" w:color="auto" w:sz="4" w:space="0"/>
                    <w:tl2br w:val="nil"/>
                    <w:tr2bl w:val="nil"/>
                  </w:tcBorders>
                  <w:shd w:val="clear" w:color="auto" w:fill="auto"/>
                  <w:vAlign w:val="center"/>
                </w:tcPr>
                <w:p w14:paraId="6BA98D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经</w:t>
                  </w:r>
                  <w:r>
                    <w:rPr>
                      <w:rFonts w:hint="eastAsia" w:ascii="Times New Roman" w:hAnsi="Times New Roman" w:cs="Times New Roman" w:eastAsiaTheme="minorEastAsia"/>
                      <w:sz w:val="21"/>
                      <w:szCs w:val="21"/>
                      <w:lang w:val="en-US" w:eastAsia="zh-CN"/>
                    </w:rPr>
                    <w:t>厂区调节池调节</w:t>
                  </w:r>
                  <w:r>
                    <w:rPr>
                      <w:rFonts w:hint="default" w:ascii="Times New Roman" w:hAnsi="Times New Roman" w:cs="Times New Roman" w:eastAsiaTheme="minorEastAsia"/>
                      <w:sz w:val="21"/>
                      <w:szCs w:val="21"/>
                      <w:lang w:val="en-US" w:eastAsia="zh-CN"/>
                    </w:rPr>
                    <w:t>后</w:t>
                  </w:r>
                </w:p>
              </w:tc>
              <w:tc>
                <w:tcPr>
                  <w:tcW w:w="1360" w:type="dxa"/>
                  <w:vMerge w:val="continue"/>
                  <w:tcBorders>
                    <w:left w:val="single" w:color="auto" w:sz="4" w:space="0"/>
                    <w:tl2br w:val="nil"/>
                    <w:tr2bl w:val="nil"/>
                  </w:tcBorders>
                  <w:vAlign w:val="center"/>
                </w:tcPr>
                <w:p w14:paraId="30E155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p>
              </w:tc>
              <w:tc>
                <w:tcPr>
                  <w:tcW w:w="1433" w:type="dxa"/>
                  <w:tcBorders>
                    <w:right w:val="single" w:color="auto" w:sz="4" w:space="0"/>
                    <w:tl2br w:val="nil"/>
                    <w:tr2bl w:val="nil"/>
                  </w:tcBorders>
                  <w:shd w:val="clear" w:color="auto" w:fill="auto"/>
                  <w:vAlign w:val="center"/>
                </w:tcPr>
                <w:p w14:paraId="5EB281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经</w:t>
                  </w:r>
                  <w:r>
                    <w:rPr>
                      <w:rFonts w:hint="eastAsia" w:ascii="Times New Roman" w:hAnsi="Times New Roman" w:cs="Times New Roman" w:eastAsiaTheme="minorEastAsia"/>
                      <w:sz w:val="21"/>
                      <w:szCs w:val="21"/>
                      <w:lang w:val="en-US" w:eastAsia="zh-CN"/>
                    </w:rPr>
                    <w:t>厂区调节池调节</w:t>
                  </w:r>
                  <w:r>
                    <w:rPr>
                      <w:rFonts w:hint="default" w:ascii="Times New Roman" w:hAnsi="Times New Roman" w:cs="Times New Roman" w:eastAsiaTheme="minorEastAsia"/>
                      <w:sz w:val="21"/>
                      <w:szCs w:val="21"/>
                      <w:lang w:val="en-US" w:eastAsia="zh-CN"/>
                    </w:rPr>
                    <w:t>后</w:t>
                  </w:r>
                </w:p>
              </w:tc>
              <w:tc>
                <w:tcPr>
                  <w:tcW w:w="1022" w:type="dxa"/>
                  <w:vMerge w:val="continue"/>
                  <w:tcBorders>
                    <w:left w:val="single" w:color="auto" w:sz="4" w:space="0"/>
                    <w:tl2br w:val="nil"/>
                    <w:tr2bl w:val="nil"/>
                  </w:tcBorders>
                  <w:vAlign w:val="center"/>
                </w:tcPr>
                <w:p w14:paraId="5EC2A5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p>
              </w:tc>
              <w:tc>
                <w:tcPr>
                  <w:tcW w:w="1120" w:type="dxa"/>
                  <w:tcBorders>
                    <w:tl2br w:val="nil"/>
                    <w:tr2bl w:val="nil"/>
                  </w:tcBorders>
                  <w:vAlign w:val="center"/>
                </w:tcPr>
                <w:p w14:paraId="2ED069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B754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50C31A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3"/>
                  <w:tcBorders>
                    <w:tl2br w:val="nil"/>
                    <w:tr2bl w:val="nil"/>
                  </w:tcBorders>
                  <w:vAlign w:val="center"/>
                </w:tcPr>
                <w:p w14:paraId="430B8A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986" w:type="dxa"/>
                  <w:gridSpan w:val="2"/>
                  <w:tcBorders>
                    <w:tl2br w:val="nil"/>
                    <w:tr2bl w:val="nil"/>
                  </w:tcBorders>
                  <w:vAlign w:val="center"/>
                </w:tcPr>
                <w:p w14:paraId="189450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厂区内设置一般固废暂存间，定期外售</w:t>
                  </w:r>
                </w:p>
              </w:tc>
              <w:tc>
                <w:tcPr>
                  <w:tcW w:w="2455" w:type="dxa"/>
                  <w:gridSpan w:val="2"/>
                  <w:tcBorders>
                    <w:tl2br w:val="nil"/>
                    <w:tr2bl w:val="nil"/>
                  </w:tcBorders>
                  <w:vAlign w:val="center"/>
                </w:tcPr>
                <w:p w14:paraId="7A2CAC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厂区内设置一般固废暂存间，定期外售</w:t>
                  </w:r>
                </w:p>
              </w:tc>
              <w:tc>
                <w:tcPr>
                  <w:tcW w:w="1120" w:type="dxa"/>
                  <w:tcBorders>
                    <w:tl2br w:val="nil"/>
                    <w:tr2bl w:val="nil"/>
                  </w:tcBorders>
                  <w:vAlign w:val="center"/>
                </w:tcPr>
                <w:p w14:paraId="5C009A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42885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190090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3"/>
                  <w:tcBorders>
                    <w:tl2br w:val="nil"/>
                    <w:tr2bl w:val="nil"/>
                  </w:tcBorders>
                  <w:vAlign w:val="center"/>
                </w:tcPr>
                <w:p w14:paraId="11418C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986" w:type="dxa"/>
                  <w:gridSpan w:val="2"/>
                  <w:tcBorders>
                    <w:tl2br w:val="nil"/>
                    <w:tr2bl w:val="nil"/>
                  </w:tcBorders>
                  <w:vAlign w:val="center"/>
                </w:tcPr>
                <w:p w14:paraId="368189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厂区设置危险废物暂存间，定期交有资质单位进行处理。</w:t>
                  </w:r>
                </w:p>
              </w:tc>
              <w:tc>
                <w:tcPr>
                  <w:tcW w:w="2455" w:type="dxa"/>
                  <w:gridSpan w:val="2"/>
                  <w:tcBorders>
                    <w:tl2br w:val="nil"/>
                    <w:tr2bl w:val="nil"/>
                  </w:tcBorders>
                  <w:vAlign w:val="center"/>
                </w:tcPr>
                <w:p w14:paraId="25FE65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厂区设置危险废物暂存间，定期交有资质单位进行处理。</w:t>
                  </w:r>
                </w:p>
              </w:tc>
              <w:tc>
                <w:tcPr>
                  <w:tcW w:w="1120" w:type="dxa"/>
                  <w:tcBorders>
                    <w:tl2br w:val="nil"/>
                    <w:tr2bl w:val="nil"/>
                  </w:tcBorders>
                  <w:vAlign w:val="center"/>
                </w:tcPr>
                <w:p w14:paraId="00141E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37170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4082F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3"/>
                  <w:tcBorders>
                    <w:tl2br w:val="nil"/>
                    <w:tr2bl w:val="nil"/>
                  </w:tcBorders>
                  <w:vAlign w:val="center"/>
                </w:tcPr>
                <w:p w14:paraId="3684AB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噪声</w:t>
                  </w:r>
                </w:p>
              </w:tc>
              <w:tc>
                <w:tcPr>
                  <w:tcW w:w="2986" w:type="dxa"/>
                  <w:gridSpan w:val="2"/>
                  <w:tcBorders>
                    <w:tl2br w:val="nil"/>
                    <w:tr2bl w:val="nil"/>
                  </w:tcBorders>
                  <w:vAlign w:val="center"/>
                </w:tcPr>
                <w:p w14:paraId="537B2F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2455" w:type="dxa"/>
                  <w:gridSpan w:val="2"/>
                  <w:tcBorders>
                    <w:tl2br w:val="nil"/>
                    <w:tr2bl w:val="nil"/>
                  </w:tcBorders>
                  <w:vAlign w:val="center"/>
                </w:tcPr>
                <w:p w14:paraId="5A1458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1120" w:type="dxa"/>
                  <w:tcBorders>
                    <w:tl2br w:val="nil"/>
                    <w:tr2bl w:val="nil"/>
                  </w:tcBorders>
                  <w:vAlign w:val="center"/>
                </w:tcPr>
                <w:p w14:paraId="0742A5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14:paraId="157B8D4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6</w:t>
            </w:r>
            <w:r>
              <w:rPr>
                <w:rFonts w:hint="default" w:ascii="Times New Roman" w:hAnsi="Times New Roman" w:cs="Times New Roman" w:eastAsiaTheme="minorEastAsia"/>
                <w:b/>
                <w:bCs/>
                <w:color w:val="auto"/>
                <w:kern w:val="2"/>
                <w:sz w:val="21"/>
                <w:szCs w:val="21"/>
                <w:lang w:val="en-US" w:eastAsia="zh-CN" w:bidi="ar-SA"/>
              </w:rPr>
              <w:t xml:space="preserve"> 本工程主要设备情况一览表</w:t>
            </w:r>
          </w:p>
          <w:tbl>
            <w:tblPr>
              <w:tblStyle w:val="31"/>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386"/>
              <w:gridCol w:w="893"/>
              <w:gridCol w:w="921"/>
              <w:gridCol w:w="1073"/>
              <w:gridCol w:w="1329"/>
              <w:gridCol w:w="1220"/>
              <w:gridCol w:w="1192"/>
              <w:gridCol w:w="1191"/>
            </w:tblGrid>
            <w:tr w14:paraId="13A7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15" w:type="pct"/>
                  <w:vMerge w:val="restart"/>
                  <w:noWrap w:val="0"/>
                  <w:vAlign w:val="center"/>
                </w:tcPr>
                <w:p w14:paraId="251BCDBE">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eastAsia"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序号</w:t>
                  </w:r>
                </w:p>
              </w:tc>
              <w:tc>
                <w:tcPr>
                  <w:tcW w:w="1868" w:type="pct"/>
                  <w:gridSpan w:val="4"/>
                  <w:noWrap w:val="0"/>
                  <w:vAlign w:val="center"/>
                </w:tcPr>
                <w:p w14:paraId="78D2AA3F">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eastAsia"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环评</w:t>
                  </w:r>
                </w:p>
              </w:tc>
              <w:tc>
                <w:tcPr>
                  <w:tcW w:w="2135" w:type="pct"/>
                  <w:gridSpan w:val="3"/>
                  <w:noWrap w:val="0"/>
                  <w:vAlign w:val="center"/>
                </w:tcPr>
                <w:p w14:paraId="1BE750AF">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eastAsia"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实际情况</w:t>
                  </w:r>
                </w:p>
              </w:tc>
              <w:tc>
                <w:tcPr>
                  <w:tcW w:w="679" w:type="pct"/>
                  <w:vMerge w:val="restart"/>
                  <w:noWrap w:val="0"/>
                  <w:vAlign w:val="center"/>
                </w:tcPr>
                <w:p w14:paraId="00356A65">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变化情况</w:t>
                  </w:r>
                </w:p>
              </w:tc>
            </w:tr>
            <w:tr w14:paraId="1CC9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15" w:type="pct"/>
                  <w:vMerge w:val="continue"/>
                  <w:noWrap w:val="0"/>
                  <w:vAlign w:val="center"/>
                </w:tcPr>
                <w:p w14:paraId="145607E3">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eastAsia" w:ascii="CESI宋体-GB2312" w:hAnsi="CESI宋体-GB2312" w:eastAsia="CESI宋体-GB2312" w:cs="CESI宋体-GB2312"/>
                      <w:b/>
                      <w:bCs/>
                      <w:color w:val="000000"/>
                      <w:sz w:val="21"/>
                      <w:szCs w:val="21"/>
                      <w:lang w:val="en-US" w:eastAsia="zh-CN"/>
                    </w:rPr>
                  </w:pPr>
                </w:p>
              </w:tc>
              <w:tc>
                <w:tcPr>
                  <w:tcW w:w="730" w:type="pct"/>
                  <w:gridSpan w:val="2"/>
                  <w:noWrap w:val="0"/>
                  <w:vAlign w:val="center"/>
                </w:tcPr>
                <w:p w14:paraId="4BB1792A">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eastAsia"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名称</w:t>
                  </w:r>
                </w:p>
              </w:tc>
              <w:tc>
                <w:tcPr>
                  <w:tcW w:w="525" w:type="pct"/>
                  <w:noWrap w:val="0"/>
                  <w:vAlign w:val="center"/>
                </w:tcPr>
                <w:p w14:paraId="691F5EFD">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eastAsia"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型号</w:t>
                  </w:r>
                </w:p>
              </w:tc>
              <w:tc>
                <w:tcPr>
                  <w:tcW w:w="612" w:type="pct"/>
                  <w:noWrap w:val="0"/>
                  <w:vAlign w:val="center"/>
                </w:tcPr>
                <w:p w14:paraId="15996B48">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数量（台）</w:t>
                  </w:r>
                </w:p>
              </w:tc>
              <w:tc>
                <w:tcPr>
                  <w:tcW w:w="758" w:type="pct"/>
                  <w:noWrap w:val="0"/>
                  <w:vAlign w:val="center"/>
                </w:tcPr>
                <w:p w14:paraId="22244FD6">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eastAsia"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名称</w:t>
                  </w:r>
                </w:p>
              </w:tc>
              <w:tc>
                <w:tcPr>
                  <w:tcW w:w="696" w:type="pct"/>
                  <w:noWrap w:val="0"/>
                  <w:vAlign w:val="center"/>
                </w:tcPr>
                <w:p w14:paraId="4E0F1AF9">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eastAsia" w:ascii="CESI宋体-GB2312" w:hAnsi="CESI宋体-GB2312" w:eastAsia="CESI宋体-GB2312" w:cs="CESI宋体-GB2312"/>
                      <w:b/>
                      <w:bCs/>
                      <w:color w:val="000000"/>
                      <w:kern w:val="2"/>
                      <w:sz w:val="21"/>
                      <w:szCs w:val="21"/>
                      <w:lang w:val="en-US" w:eastAsia="zh-CN" w:bidi="ar-SA"/>
                    </w:rPr>
                  </w:pPr>
                  <w:r>
                    <w:rPr>
                      <w:rFonts w:hint="eastAsia" w:ascii="CESI宋体-GB2312" w:hAnsi="CESI宋体-GB2312" w:eastAsia="CESI宋体-GB2312" w:cs="CESI宋体-GB2312"/>
                      <w:b/>
                      <w:bCs/>
                      <w:color w:val="000000"/>
                      <w:sz w:val="21"/>
                      <w:szCs w:val="21"/>
                      <w:lang w:val="en-US" w:eastAsia="zh-CN"/>
                    </w:rPr>
                    <w:t>型号</w:t>
                  </w:r>
                </w:p>
              </w:tc>
              <w:tc>
                <w:tcPr>
                  <w:tcW w:w="680" w:type="pct"/>
                  <w:noWrap w:val="0"/>
                  <w:vAlign w:val="center"/>
                </w:tcPr>
                <w:p w14:paraId="33CC69C1">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eastAsia" w:ascii="CESI宋体-GB2312" w:hAnsi="CESI宋体-GB2312" w:eastAsia="CESI宋体-GB2312" w:cs="CESI宋体-GB2312"/>
                      <w:b/>
                      <w:bCs/>
                      <w:color w:val="000000"/>
                      <w:kern w:val="2"/>
                      <w:sz w:val="21"/>
                      <w:szCs w:val="21"/>
                      <w:lang w:val="en-US" w:eastAsia="zh-CN" w:bidi="ar-SA"/>
                    </w:rPr>
                  </w:pPr>
                  <w:r>
                    <w:rPr>
                      <w:rFonts w:hint="eastAsia" w:ascii="CESI宋体-GB2312" w:hAnsi="CESI宋体-GB2312" w:eastAsia="CESI宋体-GB2312" w:cs="CESI宋体-GB2312"/>
                      <w:b/>
                      <w:bCs/>
                      <w:color w:val="000000"/>
                      <w:sz w:val="21"/>
                      <w:szCs w:val="21"/>
                      <w:lang w:val="en-US" w:eastAsia="zh-CN"/>
                    </w:rPr>
                    <w:t>数量（台）</w:t>
                  </w:r>
                </w:p>
              </w:tc>
              <w:tc>
                <w:tcPr>
                  <w:tcW w:w="679" w:type="pct"/>
                  <w:vMerge w:val="continue"/>
                  <w:noWrap w:val="0"/>
                  <w:vAlign w:val="center"/>
                </w:tcPr>
                <w:p w14:paraId="14A8CBCF">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eastAsia" w:ascii="CESI宋体-GB2312" w:hAnsi="CESI宋体-GB2312" w:eastAsia="CESI宋体-GB2312" w:cs="CESI宋体-GB2312"/>
                      <w:b/>
                      <w:bCs/>
                      <w:color w:val="000000"/>
                      <w:sz w:val="21"/>
                      <w:szCs w:val="21"/>
                      <w:lang w:val="en-US" w:eastAsia="zh-CN"/>
                    </w:rPr>
                  </w:pPr>
                </w:p>
              </w:tc>
            </w:tr>
            <w:tr w14:paraId="6832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12A41E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20" w:type="pct"/>
                  <w:vMerge w:val="restart"/>
                  <w:shd w:val="clear" w:color="auto" w:fill="auto"/>
                  <w:noWrap w:val="0"/>
                  <w:vAlign w:val="center"/>
                </w:tcPr>
                <w:p w14:paraId="6BFDF6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豆沙馅</w:t>
                  </w:r>
                  <w:r>
                    <w:rPr>
                      <w:rFonts w:hint="default" w:ascii="Times New Roman" w:hAnsi="Times New Roman" w:eastAsia="宋体" w:cs="Times New Roman"/>
                      <w:bCs/>
                      <w:highlight w:val="none"/>
                      <w:lang w:val="en-US" w:eastAsia="zh-CN"/>
                    </w:rPr>
                    <w:t>生产线</w:t>
                  </w:r>
                </w:p>
              </w:tc>
              <w:tc>
                <w:tcPr>
                  <w:tcW w:w="509" w:type="pct"/>
                  <w:shd w:val="clear" w:color="auto" w:fill="auto"/>
                  <w:noWrap w:val="0"/>
                  <w:vAlign w:val="center"/>
                </w:tcPr>
                <w:p w14:paraId="0F3BAE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蒸煮罐</w:t>
                  </w:r>
                </w:p>
              </w:tc>
              <w:tc>
                <w:tcPr>
                  <w:tcW w:w="525" w:type="pct"/>
                  <w:shd w:val="clear" w:color="auto" w:fill="auto"/>
                  <w:noWrap w:val="0"/>
                  <w:vAlign w:val="center"/>
                </w:tcPr>
                <w:p w14:paraId="37D301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1.5T</w:t>
                  </w:r>
                </w:p>
              </w:tc>
              <w:tc>
                <w:tcPr>
                  <w:tcW w:w="612" w:type="pct"/>
                  <w:shd w:val="clear" w:color="auto" w:fill="auto"/>
                  <w:noWrap w:val="0"/>
                  <w:vAlign w:val="center"/>
                </w:tcPr>
                <w:p w14:paraId="323208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4</w:t>
                  </w:r>
                </w:p>
              </w:tc>
              <w:tc>
                <w:tcPr>
                  <w:tcW w:w="758" w:type="pct"/>
                  <w:shd w:val="clear" w:color="auto" w:fill="auto"/>
                  <w:noWrap w:val="0"/>
                  <w:vAlign w:val="center"/>
                </w:tcPr>
                <w:p w14:paraId="724DA1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蒸煮罐</w:t>
                  </w:r>
                </w:p>
              </w:tc>
              <w:tc>
                <w:tcPr>
                  <w:tcW w:w="696" w:type="pct"/>
                  <w:shd w:val="clear" w:color="auto" w:fill="auto"/>
                  <w:noWrap w:val="0"/>
                  <w:vAlign w:val="center"/>
                </w:tcPr>
                <w:p w14:paraId="0E4732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1.5T</w:t>
                  </w:r>
                </w:p>
              </w:tc>
              <w:tc>
                <w:tcPr>
                  <w:tcW w:w="680" w:type="pct"/>
                  <w:shd w:val="clear" w:color="auto" w:fill="auto"/>
                  <w:noWrap w:val="0"/>
                  <w:vAlign w:val="center"/>
                </w:tcPr>
                <w:p w14:paraId="3694706E">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4</w:t>
                  </w:r>
                </w:p>
              </w:tc>
              <w:tc>
                <w:tcPr>
                  <w:tcW w:w="679" w:type="pct"/>
                  <w:noWrap w:val="0"/>
                  <w:vAlign w:val="center"/>
                </w:tcPr>
                <w:p w14:paraId="5AFBDB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未变化</w:t>
                  </w:r>
                </w:p>
              </w:tc>
            </w:tr>
            <w:tr w14:paraId="085A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15" w:type="pct"/>
                  <w:noWrap w:val="0"/>
                  <w:vAlign w:val="center"/>
                </w:tcPr>
                <w:p w14:paraId="77C1E2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20" w:type="pct"/>
                  <w:vMerge w:val="continue"/>
                  <w:shd w:val="clear" w:color="auto" w:fill="auto"/>
                  <w:noWrap w:val="0"/>
                  <w:vAlign w:val="center"/>
                </w:tcPr>
                <w:p w14:paraId="321C50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617047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highlight w:val="none"/>
                      <w:lang w:val="en-US" w:eastAsia="zh-CN"/>
                    </w:rPr>
                  </w:pPr>
                  <w:r>
                    <w:rPr>
                      <w:rFonts w:hint="default" w:ascii="Times New Roman" w:hAnsi="Times New Roman" w:eastAsia="宋体" w:cs="Times New Roman"/>
                      <w:bCs/>
                      <w:highlight w:val="none"/>
                    </w:rPr>
                    <w:t>洗豆机</w:t>
                  </w:r>
                </w:p>
              </w:tc>
              <w:tc>
                <w:tcPr>
                  <w:tcW w:w="525" w:type="pct"/>
                  <w:shd w:val="clear" w:color="auto" w:fill="auto"/>
                  <w:noWrap w:val="0"/>
                  <w:vAlign w:val="center"/>
                </w:tcPr>
                <w:p w14:paraId="2FA9C1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highlight w:val="none"/>
                      <w:lang w:val="en-US" w:eastAsia="zh-CN"/>
                    </w:rPr>
                  </w:pPr>
                  <w:r>
                    <w:rPr>
                      <w:rFonts w:hint="default" w:ascii="Times New Roman" w:hAnsi="Times New Roman" w:eastAsia="宋体" w:cs="Times New Roman"/>
                      <w:bCs/>
                      <w:highlight w:val="none"/>
                      <w:lang w:val="en-US" w:eastAsia="zh-CN"/>
                    </w:rPr>
                    <w:t>清洗量2t/h</w:t>
                  </w:r>
                </w:p>
              </w:tc>
              <w:tc>
                <w:tcPr>
                  <w:tcW w:w="612" w:type="pct"/>
                  <w:shd w:val="clear" w:color="auto" w:fill="auto"/>
                  <w:noWrap w:val="0"/>
                  <w:vAlign w:val="center"/>
                </w:tcPr>
                <w:p w14:paraId="6D4E33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331ABB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洗豆机</w:t>
                  </w:r>
                </w:p>
              </w:tc>
              <w:tc>
                <w:tcPr>
                  <w:tcW w:w="696" w:type="pct"/>
                  <w:shd w:val="clear" w:color="auto" w:fill="auto"/>
                  <w:noWrap w:val="0"/>
                  <w:vAlign w:val="center"/>
                </w:tcPr>
                <w:p w14:paraId="5A334D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lang w:val="en-US" w:eastAsia="zh-CN"/>
                    </w:rPr>
                    <w:t>清洗量0.5t/h</w:t>
                  </w:r>
                </w:p>
              </w:tc>
              <w:tc>
                <w:tcPr>
                  <w:tcW w:w="680" w:type="pct"/>
                  <w:shd w:val="clear" w:color="auto" w:fill="auto"/>
                  <w:noWrap w:val="0"/>
                  <w:vAlign w:val="center"/>
                </w:tcPr>
                <w:p w14:paraId="6684E7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1</w:t>
                  </w:r>
                </w:p>
              </w:tc>
              <w:tc>
                <w:tcPr>
                  <w:tcW w:w="679" w:type="pct"/>
                  <w:noWrap w:val="0"/>
                  <w:vAlign w:val="center"/>
                </w:tcPr>
                <w:p w14:paraId="7AE9F8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型号变化</w:t>
                  </w:r>
                </w:p>
              </w:tc>
            </w:tr>
            <w:tr w14:paraId="2F0B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0DF2D4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20" w:type="pct"/>
                  <w:vMerge w:val="continue"/>
                  <w:shd w:val="clear" w:color="auto" w:fill="auto"/>
                  <w:noWrap w:val="0"/>
                  <w:vAlign w:val="center"/>
                </w:tcPr>
                <w:p w14:paraId="322A91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4C5FF4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浓缩锅</w:t>
                  </w:r>
                </w:p>
              </w:tc>
              <w:tc>
                <w:tcPr>
                  <w:tcW w:w="525" w:type="pct"/>
                  <w:shd w:val="clear" w:color="auto" w:fill="auto"/>
                  <w:noWrap w:val="0"/>
                  <w:vAlign w:val="center"/>
                </w:tcPr>
                <w:p w14:paraId="40D858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800L</w:t>
                  </w:r>
                </w:p>
              </w:tc>
              <w:tc>
                <w:tcPr>
                  <w:tcW w:w="612" w:type="pct"/>
                  <w:shd w:val="clear" w:color="auto" w:fill="auto"/>
                  <w:noWrap w:val="0"/>
                  <w:vAlign w:val="center"/>
                </w:tcPr>
                <w:p w14:paraId="3D4878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6</w:t>
                  </w:r>
                </w:p>
              </w:tc>
              <w:tc>
                <w:tcPr>
                  <w:tcW w:w="758" w:type="pct"/>
                  <w:shd w:val="clear" w:color="auto" w:fill="auto"/>
                  <w:noWrap w:val="0"/>
                  <w:vAlign w:val="center"/>
                </w:tcPr>
                <w:p w14:paraId="389328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浓缩锅</w:t>
                  </w:r>
                </w:p>
              </w:tc>
              <w:tc>
                <w:tcPr>
                  <w:tcW w:w="696" w:type="pct"/>
                  <w:shd w:val="clear" w:color="auto" w:fill="auto"/>
                  <w:noWrap w:val="0"/>
                  <w:vAlign w:val="center"/>
                </w:tcPr>
                <w:p w14:paraId="28F7F2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800L</w:t>
                  </w:r>
                </w:p>
              </w:tc>
              <w:tc>
                <w:tcPr>
                  <w:tcW w:w="680" w:type="pct"/>
                  <w:shd w:val="clear" w:color="auto" w:fill="auto"/>
                  <w:noWrap w:val="0"/>
                  <w:vAlign w:val="center"/>
                </w:tcPr>
                <w:p w14:paraId="7041BA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6</w:t>
                  </w:r>
                </w:p>
              </w:tc>
              <w:tc>
                <w:tcPr>
                  <w:tcW w:w="679" w:type="pct"/>
                  <w:noWrap w:val="0"/>
                  <w:vAlign w:val="center"/>
                </w:tcPr>
                <w:p w14:paraId="7273C0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未变化</w:t>
                  </w:r>
                </w:p>
              </w:tc>
            </w:tr>
            <w:tr w14:paraId="75F8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7403E4E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20" w:type="pct"/>
                  <w:vMerge w:val="continue"/>
                  <w:shd w:val="clear" w:color="auto" w:fill="auto"/>
                  <w:noWrap w:val="0"/>
                  <w:vAlign w:val="center"/>
                </w:tcPr>
                <w:p w14:paraId="0A916DE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48E17F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浓缩锅</w:t>
                  </w:r>
                </w:p>
              </w:tc>
              <w:tc>
                <w:tcPr>
                  <w:tcW w:w="525" w:type="pct"/>
                  <w:shd w:val="clear" w:color="auto" w:fill="auto"/>
                  <w:noWrap w:val="0"/>
                  <w:vAlign w:val="center"/>
                </w:tcPr>
                <w:p w14:paraId="59D24C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600L</w:t>
                  </w:r>
                </w:p>
              </w:tc>
              <w:tc>
                <w:tcPr>
                  <w:tcW w:w="612" w:type="pct"/>
                  <w:shd w:val="clear" w:color="auto" w:fill="auto"/>
                  <w:noWrap w:val="0"/>
                  <w:vAlign w:val="center"/>
                </w:tcPr>
                <w:p w14:paraId="4334AD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16</w:t>
                  </w:r>
                </w:p>
              </w:tc>
              <w:tc>
                <w:tcPr>
                  <w:tcW w:w="758" w:type="pct"/>
                  <w:shd w:val="clear" w:color="auto" w:fill="auto"/>
                  <w:noWrap w:val="0"/>
                  <w:vAlign w:val="center"/>
                </w:tcPr>
                <w:p w14:paraId="063B54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浓缩锅</w:t>
                  </w:r>
                </w:p>
              </w:tc>
              <w:tc>
                <w:tcPr>
                  <w:tcW w:w="696" w:type="pct"/>
                  <w:shd w:val="clear" w:color="auto" w:fill="auto"/>
                  <w:noWrap w:val="0"/>
                  <w:vAlign w:val="center"/>
                </w:tcPr>
                <w:p w14:paraId="35A8CC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600L</w:t>
                  </w:r>
                </w:p>
              </w:tc>
              <w:tc>
                <w:tcPr>
                  <w:tcW w:w="680" w:type="pct"/>
                  <w:shd w:val="clear" w:color="auto" w:fill="auto"/>
                  <w:noWrap w:val="0"/>
                  <w:vAlign w:val="center"/>
                </w:tcPr>
                <w:p w14:paraId="300D53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16</w:t>
                  </w:r>
                </w:p>
              </w:tc>
              <w:tc>
                <w:tcPr>
                  <w:tcW w:w="679" w:type="pct"/>
                  <w:noWrap w:val="0"/>
                  <w:vAlign w:val="center"/>
                </w:tcPr>
                <w:p w14:paraId="55678E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未变化</w:t>
                  </w:r>
                </w:p>
              </w:tc>
            </w:tr>
            <w:tr w14:paraId="694B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2EF78F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20" w:type="pct"/>
                  <w:vMerge w:val="continue"/>
                  <w:shd w:val="clear" w:color="auto" w:fill="auto"/>
                  <w:noWrap w:val="0"/>
                  <w:vAlign w:val="center"/>
                </w:tcPr>
                <w:p w14:paraId="1724DC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254205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打浆机</w:t>
                  </w:r>
                </w:p>
              </w:tc>
              <w:tc>
                <w:tcPr>
                  <w:tcW w:w="525" w:type="pct"/>
                  <w:shd w:val="clear" w:color="auto" w:fill="auto"/>
                  <w:noWrap w:val="0"/>
                  <w:vAlign w:val="center"/>
                </w:tcPr>
                <w:p w14:paraId="14D8B0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0F5704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noWrap w:val="0"/>
                  <w:vAlign w:val="center"/>
                </w:tcPr>
                <w:p w14:paraId="44EDCF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打浆机</w:t>
                  </w:r>
                </w:p>
              </w:tc>
              <w:tc>
                <w:tcPr>
                  <w:tcW w:w="696" w:type="pct"/>
                  <w:shd w:val="clear" w:color="auto" w:fill="auto"/>
                  <w:noWrap w:val="0"/>
                  <w:vAlign w:val="center"/>
                </w:tcPr>
                <w:p w14:paraId="483131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405111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2</w:t>
                  </w:r>
                </w:p>
              </w:tc>
              <w:tc>
                <w:tcPr>
                  <w:tcW w:w="679" w:type="pct"/>
                  <w:noWrap w:val="0"/>
                  <w:vAlign w:val="center"/>
                </w:tcPr>
                <w:p w14:paraId="22F218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未变化</w:t>
                  </w:r>
                </w:p>
              </w:tc>
            </w:tr>
            <w:tr w14:paraId="335B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41915F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20" w:type="pct"/>
                  <w:vMerge w:val="continue"/>
                  <w:shd w:val="clear" w:color="auto" w:fill="auto"/>
                  <w:noWrap w:val="0"/>
                  <w:vAlign w:val="center"/>
                </w:tcPr>
                <w:p w14:paraId="1D89DC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024485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胶体磨</w:t>
                  </w:r>
                </w:p>
              </w:tc>
              <w:tc>
                <w:tcPr>
                  <w:tcW w:w="525" w:type="pct"/>
                  <w:shd w:val="clear" w:color="auto" w:fill="auto"/>
                  <w:noWrap w:val="0"/>
                  <w:vAlign w:val="center"/>
                </w:tcPr>
                <w:p w14:paraId="05B8CA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383649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noWrap w:val="0"/>
                  <w:vAlign w:val="center"/>
                </w:tcPr>
                <w:p w14:paraId="572E32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胶体磨</w:t>
                  </w:r>
                </w:p>
              </w:tc>
              <w:tc>
                <w:tcPr>
                  <w:tcW w:w="696" w:type="pct"/>
                  <w:shd w:val="clear" w:color="auto" w:fill="auto"/>
                  <w:noWrap w:val="0"/>
                  <w:vAlign w:val="center"/>
                </w:tcPr>
                <w:p w14:paraId="35C2B1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3F9624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highlight w:val="none"/>
                    </w:rPr>
                    <w:t>2</w:t>
                  </w:r>
                </w:p>
              </w:tc>
              <w:tc>
                <w:tcPr>
                  <w:tcW w:w="679" w:type="pct"/>
                  <w:noWrap w:val="0"/>
                  <w:vAlign w:val="center"/>
                </w:tcPr>
                <w:p w14:paraId="1055E3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未变化</w:t>
                  </w:r>
                </w:p>
              </w:tc>
            </w:tr>
            <w:tr w14:paraId="19A4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315" w:type="pct"/>
                  <w:noWrap w:val="0"/>
                  <w:vAlign w:val="center"/>
                </w:tcPr>
                <w:p w14:paraId="171A2C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20" w:type="pct"/>
                  <w:vMerge w:val="continue"/>
                  <w:shd w:val="clear" w:color="auto" w:fill="auto"/>
                  <w:noWrap w:val="0"/>
                  <w:vAlign w:val="center"/>
                </w:tcPr>
                <w:p w14:paraId="4D0D43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37C0DF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板框压滤机</w:t>
                  </w:r>
                </w:p>
              </w:tc>
              <w:tc>
                <w:tcPr>
                  <w:tcW w:w="525" w:type="pct"/>
                  <w:shd w:val="clear" w:color="auto" w:fill="auto"/>
                  <w:noWrap w:val="0"/>
                  <w:vAlign w:val="center"/>
                </w:tcPr>
                <w:p w14:paraId="53364A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4F793A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noWrap w:val="0"/>
                  <w:vAlign w:val="center"/>
                </w:tcPr>
                <w:p w14:paraId="2A80DC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板框压滤机</w:t>
                  </w:r>
                </w:p>
              </w:tc>
              <w:tc>
                <w:tcPr>
                  <w:tcW w:w="696" w:type="pct"/>
                  <w:shd w:val="clear" w:color="auto" w:fill="auto"/>
                  <w:noWrap w:val="0"/>
                  <w:vAlign w:val="center"/>
                </w:tcPr>
                <w:p w14:paraId="1A523E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0D85FE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679" w:type="pct"/>
                  <w:noWrap w:val="0"/>
                  <w:vAlign w:val="center"/>
                </w:tcPr>
                <w:p w14:paraId="5B9FA6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62C1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70F496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20" w:type="pct"/>
                  <w:vMerge w:val="continue"/>
                  <w:shd w:val="clear" w:color="auto" w:fill="auto"/>
                  <w:noWrap w:val="0"/>
                  <w:vAlign w:val="center"/>
                </w:tcPr>
                <w:p w14:paraId="248894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6CCF1E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蒸箱</w:t>
                  </w:r>
                </w:p>
              </w:tc>
              <w:tc>
                <w:tcPr>
                  <w:tcW w:w="525" w:type="pct"/>
                  <w:shd w:val="clear" w:color="auto" w:fill="auto"/>
                  <w:noWrap w:val="0"/>
                  <w:vAlign w:val="center"/>
                </w:tcPr>
                <w:p w14:paraId="73C5D8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1m</w:t>
                  </w:r>
                  <w:r>
                    <w:rPr>
                      <w:rFonts w:hint="default" w:ascii="Times New Roman" w:hAnsi="Times New Roman" w:eastAsia="宋体" w:cs="Times New Roman"/>
                      <w:bCs/>
                      <w:highlight w:val="none"/>
                      <w:vertAlign w:val="superscript"/>
                    </w:rPr>
                    <w:t>3</w:t>
                  </w:r>
                </w:p>
              </w:tc>
              <w:tc>
                <w:tcPr>
                  <w:tcW w:w="612" w:type="pct"/>
                  <w:shd w:val="clear" w:color="auto" w:fill="auto"/>
                  <w:noWrap w:val="0"/>
                  <w:vAlign w:val="center"/>
                </w:tcPr>
                <w:p w14:paraId="44C9F9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75EACF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蒸箱</w:t>
                  </w:r>
                </w:p>
              </w:tc>
              <w:tc>
                <w:tcPr>
                  <w:tcW w:w="696" w:type="pct"/>
                  <w:shd w:val="clear" w:color="auto" w:fill="auto"/>
                  <w:noWrap w:val="0"/>
                  <w:vAlign w:val="center"/>
                </w:tcPr>
                <w:p w14:paraId="0BE249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1m</w:t>
                  </w:r>
                  <w:r>
                    <w:rPr>
                      <w:rFonts w:hint="default" w:ascii="Times New Roman" w:hAnsi="Times New Roman" w:eastAsia="宋体" w:cs="Times New Roman"/>
                      <w:bCs/>
                      <w:highlight w:val="none"/>
                      <w:vertAlign w:val="superscript"/>
                    </w:rPr>
                    <w:t>3</w:t>
                  </w:r>
                </w:p>
              </w:tc>
              <w:tc>
                <w:tcPr>
                  <w:tcW w:w="680" w:type="pct"/>
                  <w:shd w:val="clear" w:color="auto" w:fill="auto"/>
                  <w:noWrap w:val="0"/>
                  <w:vAlign w:val="center"/>
                </w:tcPr>
                <w:p w14:paraId="44BC07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03E987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3FA3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 w:type="pct"/>
                  <w:noWrap w:val="0"/>
                  <w:vAlign w:val="center"/>
                </w:tcPr>
                <w:p w14:paraId="30C521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20" w:type="pct"/>
                  <w:vMerge w:val="continue"/>
                  <w:shd w:val="clear" w:color="auto" w:fill="auto"/>
                  <w:noWrap w:val="0"/>
                  <w:vAlign w:val="center"/>
                </w:tcPr>
                <w:p w14:paraId="746F2B2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77CDE0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全自动包装机</w:t>
                  </w:r>
                </w:p>
              </w:tc>
              <w:tc>
                <w:tcPr>
                  <w:tcW w:w="525" w:type="pct"/>
                  <w:shd w:val="clear" w:color="auto" w:fill="auto"/>
                  <w:noWrap w:val="0"/>
                  <w:vAlign w:val="center"/>
                </w:tcPr>
                <w:p w14:paraId="5EEA8D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077041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noWrap w:val="0"/>
                  <w:vAlign w:val="center"/>
                </w:tcPr>
                <w:p w14:paraId="3D690E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全自动包装机</w:t>
                  </w:r>
                </w:p>
              </w:tc>
              <w:tc>
                <w:tcPr>
                  <w:tcW w:w="696" w:type="pct"/>
                  <w:shd w:val="clear" w:color="auto" w:fill="auto"/>
                  <w:noWrap w:val="0"/>
                  <w:vAlign w:val="center"/>
                </w:tcPr>
                <w:p w14:paraId="20454A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4398DD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679" w:type="pct"/>
                  <w:noWrap w:val="0"/>
                  <w:vAlign w:val="center"/>
                </w:tcPr>
                <w:p w14:paraId="6D274E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1007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 w:type="pct"/>
                  <w:noWrap w:val="0"/>
                  <w:vAlign w:val="center"/>
                </w:tcPr>
                <w:p w14:paraId="0E799B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20" w:type="pct"/>
                  <w:vMerge w:val="continue"/>
                  <w:shd w:val="clear" w:color="auto" w:fill="auto"/>
                  <w:noWrap w:val="0"/>
                  <w:vAlign w:val="center"/>
                </w:tcPr>
                <w:p w14:paraId="2AAFFA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75AADC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整平机</w:t>
                  </w:r>
                </w:p>
              </w:tc>
              <w:tc>
                <w:tcPr>
                  <w:tcW w:w="525" w:type="pct"/>
                  <w:shd w:val="clear" w:color="auto" w:fill="auto"/>
                  <w:noWrap w:val="0"/>
                  <w:vAlign w:val="center"/>
                </w:tcPr>
                <w:p w14:paraId="2F02B5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67D03F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603BCF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整平机</w:t>
                  </w:r>
                </w:p>
              </w:tc>
              <w:tc>
                <w:tcPr>
                  <w:tcW w:w="696" w:type="pct"/>
                  <w:shd w:val="clear" w:color="auto" w:fill="auto"/>
                  <w:noWrap w:val="0"/>
                  <w:vAlign w:val="center"/>
                </w:tcPr>
                <w:p w14:paraId="6DFEED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1C0CFD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607DB4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2035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 w:type="pct"/>
                  <w:noWrap w:val="0"/>
                  <w:vAlign w:val="center"/>
                </w:tcPr>
                <w:p w14:paraId="14A240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220" w:type="pct"/>
                  <w:vMerge w:val="continue"/>
                  <w:shd w:val="clear" w:color="auto" w:fill="auto"/>
                  <w:noWrap w:val="0"/>
                  <w:vAlign w:val="center"/>
                </w:tcPr>
                <w:p w14:paraId="7CC64B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200E37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金属探测仪</w:t>
                  </w:r>
                </w:p>
              </w:tc>
              <w:tc>
                <w:tcPr>
                  <w:tcW w:w="525" w:type="pct"/>
                  <w:shd w:val="clear" w:color="auto" w:fill="auto"/>
                  <w:noWrap w:val="0"/>
                  <w:vAlign w:val="center"/>
                </w:tcPr>
                <w:p w14:paraId="327BA9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621C06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63038D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金属探测仪</w:t>
                  </w:r>
                </w:p>
              </w:tc>
              <w:tc>
                <w:tcPr>
                  <w:tcW w:w="696" w:type="pct"/>
                  <w:shd w:val="clear" w:color="auto" w:fill="auto"/>
                  <w:noWrap w:val="0"/>
                  <w:vAlign w:val="center"/>
                </w:tcPr>
                <w:p w14:paraId="5C4FA9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0B79E4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363557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539F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47BD3C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20" w:type="pct"/>
                  <w:vMerge w:val="restart"/>
                  <w:shd w:val="clear" w:color="auto" w:fill="auto"/>
                  <w:noWrap w:val="0"/>
                  <w:vAlign w:val="center"/>
                </w:tcPr>
                <w:p w14:paraId="7C4FF2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lang w:val="en-US" w:eastAsia="zh-CN"/>
                    </w:rPr>
                    <w:t>糖纳豆生产线</w:t>
                  </w:r>
                </w:p>
              </w:tc>
              <w:tc>
                <w:tcPr>
                  <w:tcW w:w="509" w:type="pct"/>
                  <w:shd w:val="clear" w:color="auto" w:fill="auto"/>
                  <w:noWrap w:val="0"/>
                  <w:vAlign w:val="center"/>
                </w:tcPr>
                <w:p w14:paraId="0325EE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洗豆机</w:t>
                  </w:r>
                </w:p>
              </w:tc>
              <w:tc>
                <w:tcPr>
                  <w:tcW w:w="525" w:type="pct"/>
                  <w:shd w:val="clear" w:color="auto" w:fill="auto"/>
                  <w:noWrap w:val="0"/>
                  <w:vAlign w:val="center"/>
                </w:tcPr>
                <w:p w14:paraId="226E1A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040D18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7B3E11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洗豆机</w:t>
                  </w:r>
                </w:p>
              </w:tc>
              <w:tc>
                <w:tcPr>
                  <w:tcW w:w="696" w:type="pct"/>
                  <w:shd w:val="clear" w:color="auto" w:fill="auto"/>
                  <w:noWrap w:val="0"/>
                  <w:vAlign w:val="center"/>
                </w:tcPr>
                <w:p w14:paraId="1946A2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487B78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308A57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397D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0F3C86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220" w:type="pct"/>
                  <w:vMerge w:val="continue"/>
                  <w:shd w:val="clear" w:color="auto" w:fill="auto"/>
                  <w:noWrap w:val="0"/>
                  <w:vAlign w:val="center"/>
                </w:tcPr>
                <w:p w14:paraId="20B69A5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3CFC50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化糖罐</w:t>
                  </w:r>
                </w:p>
              </w:tc>
              <w:tc>
                <w:tcPr>
                  <w:tcW w:w="525" w:type="pct"/>
                  <w:shd w:val="clear" w:color="auto" w:fill="auto"/>
                  <w:noWrap w:val="0"/>
                  <w:vAlign w:val="center"/>
                </w:tcPr>
                <w:p w14:paraId="5B8C23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1200L</w:t>
                  </w:r>
                </w:p>
              </w:tc>
              <w:tc>
                <w:tcPr>
                  <w:tcW w:w="612" w:type="pct"/>
                  <w:shd w:val="clear" w:color="auto" w:fill="auto"/>
                  <w:noWrap w:val="0"/>
                  <w:vAlign w:val="center"/>
                </w:tcPr>
                <w:p w14:paraId="76DD49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645AB0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化糖罐</w:t>
                  </w:r>
                </w:p>
              </w:tc>
              <w:tc>
                <w:tcPr>
                  <w:tcW w:w="696" w:type="pct"/>
                  <w:shd w:val="clear" w:color="auto" w:fill="auto"/>
                  <w:noWrap w:val="0"/>
                  <w:vAlign w:val="center"/>
                </w:tcPr>
                <w:p w14:paraId="11EE7A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1200L</w:t>
                  </w:r>
                </w:p>
              </w:tc>
              <w:tc>
                <w:tcPr>
                  <w:tcW w:w="680" w:type="pct"/>
                  <w:shd w:val="clear" w:color="auto" w:fill="auto"/>
                  <w:noWrap w:val="0"/>
                  <w:vAlign w:val="center"/>
                </w:tcPr>
                <w:p w14:paraId="2A4D5F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235D5B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5393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 w:type="pct"/>
                  <w:noWrap w:val="0"/>
                  <w:vAlign w:val="center"/>
                </w:tcPr>
                <w:p w14:paraId="42D6770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20" w:type="pct"/>
                  <w:vMerge w:val="continue"/>
                  <w:shd w:val="clear" w:color="auto" w:fill="auto"/>
                  <w:noWrap w:val="0"/>
                  <w:vAlign w:val="center"/>
                </w:tcPr>
                <w:p w14:paraId="5DC98A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5774F7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真空浓缩机</w:t>
                  </w:r>
                </w:p>
              </w:tc>
              <w:tc>
                <w:tcPr>
                  <w:tcW w:w="525" w:type="pct"/>
                  <w:shd w:val="clear" w:color="auto" w:fill="auto"/>
                  <w:noWrap w:val="0"/>
                  <w:vAlign w:val="center"/>
                </w:tcPr>
                <w:p w14:paraId="32FD22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DN500</w:t>
                  </w:r>
                </w:p>
              </w:tc>
              <w:tc>
                <w:tcPr>
                  <w:tcW w:w="612" w:type="pct"/>
                  <w:shd w:val="clear" w:color="auto" w:fill="auto"/>
                  <w:noWrap w:val="0"/>
                  <w:vAlign w:val="center"/>
                </w:tcPr>
                <w:p w14:paraId="283F93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770AE7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真空浓缩机</w:t>
                  </w:r>
                </w:p>
              </w:tc>
              <w:tc>
                <w:tcPr>
                  <w:tcW w:w="696" w:type="pct"/>
                  <w:shd w:val="clear" w:color="auto" w:fill="auto"/>
                  <w:noWrap w:val="0"/>
                  <w:vAlign w:val="center"/>
                </w:tcPr>
                <w:p w14:paraId="318C09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DN500</w:t>
                  </w:r>
                </w:p>
              </w:tc>
              <w:tc>
                <w:tcPr>
                  <w:tcW w:w="680" w:type="pct"/>
                  <w:shd w:val="clear" w:color="auto" w:fill="auto"/>
                  <w:noWrap w:val="0"/>
                  <w:vAlign w:val="center"/>
                </w:tcPr>
                <w:p w14:paraId="039ABE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278026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6091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315" w:type="pct"/>
                  <w:noWrap w:val="0"/>
                  <w:vAlign w:val="center"/>
                </w:tcPr>
                <w:p w14:paraId="2B80D3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220" w:type="pct"/>
                  <w:vMerge w:val="continue"/>
                  <w:shd w:val="clear" w:color="auto" w:fill="auto"/>
                  <w:noWrap w:val="0"/>
                  <w:vAlign w:val="center"/>
                </w:tcPr>
                <w:p w14:paraId="4916BA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3E4B94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真空浓缩机</w:t>
                  </w:r>
                </w:p>
              </w:tc>
              <w:tc>
                <w:tcPr>
                  <w:tcW w:w="525" w:type="pct"/>
                  <w:shd w:val="clear" w:color="auto" w:fill="auto"/>
                  <w:noWrap w:val="0"/>
                  <w:vAlign w:val="center"/>
                </w:tcPr>
                <w:p w14:paraId="43E576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DN1000</w:t>
                  </w:r>
                </w:p>
              </w:tc>
              <w:tc>
                <w:tcPr>
                  <w:tcW w:w="612" w:type="pct"/>
                  <w:shd w:val="clear" w:color="auto" w:fill="auto"/>
                  <w:noWrap w:val="0"/>
                  <w:vAlign w:val="center"/>
                </w:tcPr>
                <w:p w14:paraId="35F979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6A3456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真空浓缩机</w:t>
                  </w:r>
                </w:p>
              </w:tc>
              <w:tc>
                <w:tcPr>
                  <w:tcW w:w="696" w:type="pct"/>
                  <w:shd w:val="clear" w:color="auto" w:fill="auto"/>
                  <w:noWrap w:val="0"/>
                  <w:vAlign w:val="center"/>
                </w:tcPr>
                <w:p w14:paraId="5715E7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DN1000</w:t>
                  </w:r>
                </w:p>
              </w:tc>
              <w:tc>
                <w:tcPr>
                  <w:tcW w:w="680" w:type="pct"/>
                  <w:shd w:val="clear" w:color="auto" w:fill="auto"/>
                  <w:noWrap w:val="0"/>
                  <w:vAlign w:val="center"/>
                </w:tcPr>
                <w:p w14:paraId="4F65DE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2C9361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14BE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 w:type="pct"/>
                  <w:noWrap w:val="0"/>
                  <w:vAlign w:val="center"/>
                </w:tcPr>
                <w:p w14:paraId="4EC84AE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220" w:type="pct"/>
                  <w:vMerge w:val="continue"/>
                  <w:shd w:val="clear" w:color="auto" w:fill="auto"/>
                  <w:noWrap w:val="0"/>
                  <w:vAlign w:val="center"/>
                </w:tcPr>
                <w:p w14:paraId="579DE8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2C9E89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真空浓缩机</w:t>
                  </w:r>
                </w:p>
              </w:tc>
              <w:tc>
                <w:tcPr>
                  <w:tcW w:w="525" w:type="pct"/>
                  <w:shd w:val="clear" w:color="auto" w:fill="auto"/>
                  <w:noWrap w:val="0"/>
                  <w:vAlign w:val="center"/>
                </w:tcPr>
                <w:p w14:paraId="59BCBB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DN3000</w:t>
                  </w:r>
                </w:p>
              </w:tc>
              <w:tc>
                <w:tcPr>
                  <w:tcW w:w="612" w:type="pct"/>
                  <w:shd w:val="clear" w:color="auto" w:fill="auto"/>
                  <w:noWrap w:val="0"/>
                  <w:vAlign w:val="center"/>
                </w:tcPr>
                <w:p w14:paraId="1802D7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5F0D49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真空浓缩机</w:t>
                  </w:r>
                </w:p>
              </w:tc>
              <w:tc>
                <w:tcPr>
                  <w:tcW w:w="696" w:type="pct"/>
                  <w:shd w:val="clear" w:color="auto" w:fill="auto"/>
                  <w:noWrap w:val="0"/>
                  <w:vAlign w:val="center"/>
                </w:tcPr>
                <w:p w14:paraId="4CC7E9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DN3000</w:t>
                  </w:r>
                </w:p>
              </w:tc>
              <w:tc>
                <w:tcPr>
                  <w:tcW w:w="680" w:type="pct"/>
                  <w:shd w:val="clear" w:color="auto" w:fill="auto"/>
                  <w:noWrap w:val="0"/>
                  <w:vAlign w:val="center"/>
                </w:tcPr>
                <w:p w14:paraId="57D2C3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489B7B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2B32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28C34B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220" w:type="pct"/>
                  <w:vMerge w:val="continue"/>
                  <w:shd w:val="clear" w:color="auto" w:fill="auto"/>
                  <w:noWrap w:val="0"/>
                  <w:vAlign w:val="center"/>
                </w:tcPr>
                <w:p w14:paraId="44DDDB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49C66A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蒸煮锅</w:t>
                  </w:r>
                </w:p>
              </w:tc>
              <w:tc>
                <w:tcPr>
                  <w:tcW w:w="525" w:type="pct"/>
                  <w:shd w:val="clear" w:color="auto" w:fill="auto"/>
                  <w:noWrap w:val="0"/>
                  <w:vAlign w:val="center"/>
                </w:tcPr>
                <w:p w14:paraId="2D3CDA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1000L</w:t>
                  </w:r>
                </w:p>
              </w:tc>
              <w:tc>
                <w:tcPr>
                  <w:tcW w:w="612" w:type="pct"/>
                  <w:shd w:val="clear" w:color="auto" w:fill="auto"/>
                  <w:noWrap w:val="0"/>
                  <w:vAlign w:val="center"/>
                </w:tcPr>
                <w:p w14:paraId="411F22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20</w:t>
                  </w:r>
                </w:p>
              </w:tc>
              <w:tc>
                <w:tcPr>
                  <w:tcW w:w="758" w:type="pct"/>
                  <w:shd w:val="clear" w:color="auto" w:fill="auto"/>
                  <w:noWrap w:val="0"/>
                  <w:vAlign w:val="center"/>
                </w:tcPr>
                <w:p w14:paraId="795663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蒸煮锅</w:t>
                  </w:r>
                </w:p>
              </w:tc>
              <w:tc>
                <w:tcPr>
                  <w:tcW w:w="696" w:type="pct"/>
                  <w:shd w:val="clear" w:color="auto" w:fill="auto"/>
                  <w:noWrap w:val="0"/>
                  <w:vAlign w:val="center"/>
                </w:tcPr>
                <w:p w14:paraId="710FD2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1000L</w:t>
                  </w:r>
                </w:p>
              </w:tc>
              <w:tc>
                <w:tcPr>
                  <w:tcW w:w="680" w:type="pct"/>
                  <w:shd w:val="clear" w:color="auto" w:fill="auto"/>
                  <w:noWrap w:val="0"/>
                  <w:vAlign w:val="center"/>
                </w:tcPr>
                <w:p w14:paraId="134049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20</w:t>
                  </w:r>
                </w:p>
              </w:tc>
              <w:tc>
                <w:tcPr>
                  <w:tcW w:w="679" w:type="pct"/>
                  <w:noWrap w:val="0"/>
                  <w:vAlign w:val="center"/>
                </w:tcPr>
                <w:p w14:paraId="7E842C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034C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03E1A0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220" w:type="pct"/>
                  <w:vMerge w:val="continue"/>
                  <w:shd w:val="clear" w:color="auto" w:fill="auto"/>
                  <w:noWrap w:val="0"/>
                  <w:vAlign w:val="center"/>
                </w:tcPr>
                <w:p w14:paraId="5D0518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01265B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蒸煮笼</w:t>
                  </w:r>
                </w:p>
              </w:tc>
              <w:tc>
                <w:tcPr>
                  <w:tcW w:w="525" w:type="pct"/>
                  <w:shd w:val="clear" w:color="auto" w:fill="auto"/>
                  <w:noWrap w:val="0"/>
                  <w:vAlign w:val="center"/>
                </w:tcPr>
                <w:p w14:paraId="2DE134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7C83D1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60</w:t>
                  </w:r>
                </w:p>
              </w:tc>
              <w:tc>
                <w:tcPr>
                  <w:tcW w:w="758" w:type="pct"/>
                  <w:shd w:val="clear" w:color="auto" w:fill="auto"/>
                  <w:noWrap w:val="0"/>
                  <w:vAlign w:val="center"/>
                </w:tcPr>
                <w:p w14:paraId="0A6F3D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蒸煮笼</w:t>
                  </w:r>
                </w:p>
              </w:tc>
              <w:tc>
                <w:tcPr>
                  <w:tcW w:w="696" w:type="pct"/>
                  <w:shd w:val="clear" w:color="auto" w:fill="auto"/>
                  <w:noWrap w:val="0"/>
                  <w:vAlign w:val="center"/>
                </w:tcPr>
                <w:p w14:paraId="462D79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337FE7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60</w:t>
                  </w:r>
                </w:p>
              </w:tc>
              <w:tc>
                <w:tcPr>
                  <w:tcW w:w="679" w:type="pct"/>
                  <w:noWrap w:val="0"/>
                  <w:vAlign w:val="center"/>
                </w:tcPr>
                <w:p w14:paraId="51524E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47E9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7C4085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220" w:type="pct"/>
                  <w:vMerge w:val="continue"/>
                  <w:shd w:val="clear" w:color="auto" w:fill="auto"/>
                  <w:noWrap w:val="0"/>
                  <w:vAlign w:val="center"/>
                </w:tcPr>
                <w:p w14:paraId="09BF8A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151E4D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浸糖罐</w:t>
                  </w:r>
                </w:p>
              </w:tc>
              <w:tc>
                <w:tcPr>
                  <w:tcW w:w="525" w:type="pct"/>
                  <w:shd w:val="clear" w:color="auto" w:fill="auto"/>
                  <w:noWrap w:val="0"/>
                  <w:vAlign w:val="center"/>
                </w:tcPr>
                <w:p w14:paraId="04D49B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1000L</w:t>
                  </w:r>
                </w:p>
              </w:tc>
              <w:tc>
                <w:tcPr>
                  <w:tcW w:w="612" w:type="pct"/>
                  <w:shd w:val="clear" w:color="auto" w:fill="auto"/>
                  <w:noWrap w:val="0"/>
                  <w:vAlign w:val="center"/>
                </w:tcPr>
                <w:p w14:paraId="01FD5C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20</w:t>
                  </w:r>
                </w:p>
              </w:tc>
              <w:tc>
                <w:tcPr>
                  <w:tcW w:w="758" w:type="pct"/>
                  <w:shd w:val="clear" w:color="auto" w:fill="auto"/>
                  <w:noWrap w:val="0"/>
                  <w:vAlign w:val="center"/>
                </w:tcPr>
                <w:p w14:paraId="790AAA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浸糖罐</w:t>
                  </w:r>
                </w:p>
              </w:tc>
              <w:tc>
                <w:tcPr>
                  <w:tcW w:w="696" w:type="pct"/>
                  <w:shd w:val="clear" w:color="auto" w:fill="auto"/>
                  <w:noWrap w:val="0"/>
                  <w:vAlign w:val="center"/>
                </w:tcPr>
                <w:p w14:paraId="6F7842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1000L</w:t>
                  </w:r>
                </w:p>
              </w:tc>
              <w:tc>
                <w:tcPr>
                  <w:tcW w:w="680" w:type="pct"/>
                  <w:shd w:val="clear" w:color="auto" w:fill="auto"/>
                  <w:noWrap w:val="0"/>
                  <w:vAlign w:val="center"/>
                </w:tcPr>
                <w:p w14:paraId="35F755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20</w:t>
                  </w:r>
                </w:p>
              </w:tc>
              <w:tc>
                <w:tcPr>
                  <w:tcW w:w="679" w:type="pct"/>
                  <w:noWrap w:val="0"/>
                  <w:vAlign w:val="center"/>
                </w:tcPr>
                <w:p w14:paraId="40378C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2CEB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1A02DD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220" w:type="pct"/>
                  <w:vMerge w:val="continue"/>
                  <w:shd w:val="clear" w:color="auto" w:fill="auto"/>
                  <w:noWrap w:val="0"/>
                  <w:vAlign w:val="center"/>
                </w:tcPr>
                <w:p w14:paraId="77AFE9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602BEB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灌装机</w:t>
                  </w:r>
                </w:p>
              </w:tc>
              <w:tc>
                <w:tcPr>
                  <w:tcW w:w="525" w:type="pct"/>
                  <w:shd w:val="clear" w:color="auto" w:fill="auto"/>
                  <w:noWrap w:val="0"/>
                  <w:vAlign w:val="center"/>
                </w:tcPr>
                <w:p w14:paraId="5D56F9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678303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35464B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灌装机</w:t>
                  </w:r>
                </w:p>
              </w:tc>
              <w:tc>
                <w:tcPr>
                  <w:tcW w:w="696" w:type="pct"/>
                  <w:shd w:val="clear" w:color="auto" w:fill="auto"/>
                  <w:noWrap w:val="0"/>
                  <w:vAlign w:val="center"/>
                </w:tcPr>
                <w:p w14:paraId="492DF40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44828B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lang w:val="en-US" w:eastAsia="zh-CN"/>
                    </w:rPr>
                    <w:t>0</w:t>
                  </w:r>
                </w:p>
              </w:tc>
              <w:tc>
                <w:tcPr>
                  <w:tcW w:w="679" w:type="pct"/>
                  <w:noWrap w:val="0"/>
                  <w:vAlign w:val="center"/>
                </w:tcPr>
                <w:p w14:paraId="7B11B6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取消</w:t>
                  </w:r>
                  <w:r>
                    <w:rPr>
                      <w:rFonts w:hint="default" w:ascii="Times New Roman" w:hAnsi="Times New Roman" w:eastAsia="宋体" w:cs="Times New Roman"/>
                      <w:sz w:val="21"/>
                      <w:szCs w:val="21"/>
                      <w:lang w:val="en-US" w:eastAsia="zh-CN"/>
                    </w:rPr>
                    <w:t>建设</w:t>
                  </w:r>
                </w:p>
              </w:tc>
            </w:tr>
            <w:tr w14:paraId="4E52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 w:type="pct"/>
                  <w:noWrap w:val="0"/>
                  <w:vAlign w:val="center"/>
                </w:tcPr>
                <w:p w14:paraId="73A1BC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220" w:type="pct"/>
                  <w:vMerge w:val="continue"/>
                  <w:shd w:val="clear" w:color="auto" w:fill="auto"/>
                  <w:noWrap w:val="0"/>
                  <w:vAlign w:val="center"/>
                </w:tcPr>
                <w:p w14:paraId="564549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722B68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真空封口机</w:t>
                  </w:r>
                </w:p>
              </w:tc>
              <w:tc>
                <w:tcPr>
                  <w:tcW w:w="525" w:type="pct"/>
                  <w:shd w:val="clear" w:color="auto" w:fill="auto"/>
                  <w:noWrap w:val="0"/>
                  <w:vAlign w:val="center"/>
                </w:tcPr>
                <w:p w14:paraId="1C4CCF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500型</w:t>
                  </w:r>
                </w:p>
              </w:tc>
              <w:tc>
                <w:tcPr>
                  <w:tcW w:w="612" w:type="pct"/>
                  <w:shd w:val="clear" w:color="auto" w:fill="auto"/>
                  <w:noWrap w:val="0"/>
                  <w:vAlign w:val="center"/>
                </w:tcPr>
                <w:p w14:paraId="6783B4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noWrap w:val="0"/>
                  <w:vAlign w:val="center"/>
                </w:tcPr>
                <w:p w14:paraId="4B5D01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真空封口机</w:t>
                  </w:r>
                </w:p>
              </w:tc>
              <w:tc>
                <w:tcPr>
                  <w:tcW w:w="696" w:type="pct"/>
                  <w:shd w:val="clear" w:color="auto" w:fill="auto"/>
                  <w:noWrap w:val="0"/>
                  <w:vAlign w:val="center"/>
                </w:tcPr>
                <w:p w14:paraId="3077D5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500型</w:t>
                  </w:r>
                </w:p>
              </w:tc>
              <w:tc>
                <w:tcPr>
                  <w:tcW w:w="680" w:type="pct"/>
                  <w:shd w:val="clear" w:color="auto" w:fill="auto"/>
                  <w:noWrap w:val="0"/>
                  <w:vAlign w:val="center"/>
                </w:tcPr>
                <w:p w14:paraId="738A83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679" w:type="pct"/>
                  <w:noWrap w:val="0"/>
                  <w:vAlign w:val="center"/>
                </w:tcPr>
                <w:p w14:paraId="793CE5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276F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 w:type="pct"/>
                  <w:noWrap w:val="0"/>
                  <w:vAlign w:val="center"/>
                </w:tcPr>
                <w:p w14:paraId="4EE188C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220" w:type="pct"/>
                  <w:vMerge w:val="continue"/>
                  <w:shd w:val="clear" w:color="auto" w:fill="auto"/>
                  <w:noWrap w:val="0"/>
                  <w:vAlign w:val="center"/>
                </w:tcPr>
                <w:p w14:paraId="4A1122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3DE1FE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风机</w:t>
                  </w:r>
                </w:p>
              </w:tc>
              <w:tc>
                <w:tcPr>
                  <w:tcW w:w="525" w:type="pct"/>
                  <w:shd w:val="clear" w:color="auto" w:fill="auto"/>
                  <w:noWrap w:val="0"/>
                  <w:vAlign w:val="center"/>
                </w:tcPr>
                <w:p w14:paraId="160C95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421928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18</w:t>
                  </w:r>
                </w:p>
              </w:tc>
              <w:tc>
                <w:tcPr>
                  <w:tcW w:w="758" w:type="pct"/>
                  <w:shd w:val="clear" w:color="auto" w:fill="auto"/>
                  <w:noWrap w:val="0"/>
                  <w:vAlign w:val="center"/>
                </w:tcPr>
                <w:p w14:paraId="10F46D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风机</w:t>
                  </w:r>
                </w:p>
              </w:tc>
              <w:tc>
                <w:tcPr>
                  <w:tcW w:w="696" w:type="pct"/>
                  <w:shd w:val="clear" w:color="auto" w:fill="auto"/>
                  <w:noWrap w:val="0"/>
                  <w:vAlign w:val="center"/>
                </w:tcPr>
                <w:p w14:paraId="53047F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12DEB2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lang w:val="en-US" w:eastAsia="zh-CN"/>
                    </w:rPr>
                    <w:t>20</w:t>
                  </w:r>
                </w:p>
              </w:tc>
              <w:tc>
                <w:tcPr>
                  <w:tcW w:w="679" w:type="pct"/>
                  <w:noWrap w:val="0"/>
                  <w:vAlign w:val="center"/>
                </w:tcPr>
                <w:p w14:paraId="028DB8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增加2台</w:t>
                  </w:r>
                </w:p>
              </w:tc>
            </w:tr>
            <w:tr w14:paraId="6E71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315" w:type="pct"/>
                  <w:noWrap w:val="0"/>
                  <w:vAlign w:val="center"/>
                </w:tcPr>
                <w:p w14:paraId="10F466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220" w:type="pct"/>
                  <w:vMerge w:val="continue"/>
                  <w:shd w:val="clear" w:color="auto" w:fill="auto"/>
                  <w:noWrap w:val="0"/>
                  <w:vAlign w:val="center"/>
                </w:tcPr>
                <w:p w14:paraId="04F219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noWrap w:val="0"/>
                  <w:vAlign w:val="center"/>
                </w:tcPr>
                <w:p w14:paraId="14F9F7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金属探测仪</w:t>
                  </w:r>
                </w:p>
              </w:tc>
              <w:tc>
                <w:tcPr>
                  <w:tcW w:w="525" w:type="pct"/>
                  <w:shd w:val="clear" w:color="auto" w:fill="auto"/>
                  <w:noWrap w:val="0"/>
                  <w:vAlign w:val="center"/>
                </w:tcPr>
                <w:p w14:paraId="532543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shd w:val="clear" w:color="auto" w:fill="auto"/>
                  <w:noWrap w:val="0"/>
                  <w:vAlign w:val="center"/>
                </w:tcPr>
                <w:p w14:paraId="4ECF37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noWrap w:val="0"/>
                  <w:vAlign w:val="center"/>
                </w:tcPr>
                <w:p w14:paraId="7EA4F3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金属探测仪</w:t>
                  </w:r>
                </w:p>
              </w:tc>
              <w:tc>
                <w:tcPr>
                  <w:tcW w:w="696" w:type="pct"/>
                  <w:shd w:val="clear" w:color="auto" w:fill="auto"/>
                  <w:noWrap w:val="0"/>
                  <w:vAlign w:val="center"/>
                </w:tcPr>
                <w:p w14:paraId="3C4AD48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shd w:val="clear" w:color="auto" w:fill="auto"/>
                  <w:noWrap w:val="0"/>
                  <w:vAlign w:val="center"/>
                </w:tcPr>
                <w:p w14:paraId="38EFD3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noWrap w:val="0"/>
                  <w:vAlign w:val="center"/>
                </w:tcPr>
                <w:p w14:paraId="1893A2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2F6E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noWrap w:val="0"/>
                  <w:vAlign w:val="center"/>
                </w:tcPr>
                <w:p w14:paraId="56B799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p>
              </w:tc>
              <w:tc>
                <w:tcPr>
                  <w:tcW w:w="220" w:type="pct"/>
                  <w:vMerge w:val="restart"/>
                  <w:shd w:val="clear" w:color="auto" w:fill="auto"/>
                  <w:noWrap w:val="0"/>
                  <w:vAlign w:val="center"/>
                </w:tcPr>
                <w:p w14:paraId="0DB779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共用</w:t>
                  </w:r>
                </w:p>
              </w:tc>
              <w:tc>
                <w:tcPr>
                  <w:tcW w:w="509" w:type="pct"/>
                  <w:shd w:val="clear" w:color="auto" w:fill="auto"/>
                  <w:noWrap w:val="0"/>
                  <w:vAlign w:val="center"/>
                </w:tcPr>
                <w:p w14:paraId="040271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杀菌池</w:t>
                  </w:r>
                </w:p>
              </w:tc>
              <w:tc>
                <w:tcPr>
                  <w:tcW w:w="525" w:type="pct"/>
                  <w:shd w:val="clear" w:color="auto" w:fill="auto"/>
                  <w:noWrap w:val="0"/>
                  <w:vAlign w:val="center"/>
                </w:tcPr>
                <w:p w14:paraId="4562FA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8m</w:t>
                  </w:r>
                  <w:r>
                    <w:rPr>
                      <w:rFonts w:hint="default" w:ascii="Times New Roman" w:hAnsi="Times New Roman" w:eastAsia="宋体" w:cs="Times New Roman"/>
                      <w:bCs/>
                      <w:highlight w:val="none"/>
                      <w:vertAlign w:val="superscript"/>
                    </w:rPr>
                    <w:t>3</w:t>
                  </w:r>
                </w:p>
              </w:tc>
              <w:tc>
                <w:tcPr>
                  <w:tcW w:w="612" w:type="pct"/>
                  <w:shd w:val="clear" w:color="auto" w:fill="auto"/>
                  <w:noWrap w:val="0"/>
                  <w:vAlign w:val="center"/>
                </w:tcPr>
                <w:p w14:paraId="24885B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noWrap w:val="0"/>
                  <w:vAlign w:val="center"/>
                </w:tcPr>
                <w:p w14:paraId="260DDD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杀菌池</w:t>
                  </w:r>
                </w:p>
              </w:tc>
              <w:tc>
                <w:tcPr>
                  <w:tcW w:w="696" w:type="pct"/>
                  <w:shd w:val="clear" w:color="auto" w:fill="auto"/>
                  <w:noWrap w:val="0"/>
                  <w:vAlign w:val="center"/>
                </w:tcPr>
                <w:p w14:paraId="5E29B8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8m</w:t>
                  </w:r>
                  <w:r>
                    <w:rPr>
                      <w:rFonts w:hint="default" w:ascii="Times New Roman" w:hAnsi="Times New Roman" w:eastAsia="宋体" w:cs="Times New Roman"/>
                      <w:bCs/>
                      <w:highlight w:val="none"/>
                      <w:vertAlign w:val="superscript"/>
                    </w:rPr>
                    <w:t>3</w:t>
                  </w:r>
                </w:p>
              </w:tc>
              <w:tc>
                <w:tcPr>
                  <w:tcW w:w="680" w:type="pct"/>
                  <w:shd w:val="clear" w:color="auto" w:fill="auto"/>
                  <w:noWrap w:val="0"/>
                  <w:vAlign w:val="center"/>
                </w:tcPr>
                <w:p w14:paraId="4ED058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679" w:type="pct"/>
                  <w:noWrap w:val="0"/>
                  <w:vAlign w:val="center"/>
                </w:tcPr>
                <w:p w14:paraId="260EC8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7856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15" w:type="pct"/>
                  <w:vAlign w:val="center"/>
                </w:tcPr>
                <w:p w14:paraId="0387F7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220" w:type="pct"/>
                  <w:vMerge w:val="continue"/>
                  <w:shd w:val="clear" w:color="auto" w:fill="auto"/>
                  <w:vAlign w:val="center"/>
                </w:tcPr>
                <w:p w14:paraId="2AF834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vAlign w:val="center"/>
                </w:tcPr>
                <w:p w14:paraId="21D56B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冷却池</w:t>
                  </w:r>
                </w:p>
              </w:tc>
              <w:tc>
                <w:tcPr>
                  <w:tcW w:w="525" w:type="pct"/>
                  <w:shd w:val="clear" w:color="auto" w:fill="auto"/>
                  <w:vAlign w:val="center"/>
                </w:tcPr>
                <w:p w14:paraId="1331BC9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16m</w:t>
                  </w:r>
                  <w:r>
                    <w:rPr>
                      <w:rFonts w:hint="default" w:ascii="Times New Roman" w:hAnsi="Times New Roman" w:eastAsia="宋体" w:cs="Times New Roman"/>
                      <w:bCs/>
                      <w:highlight w:val="none"/>
                      <w:vertAlign w:val="superscript"/>
                    </w:rPr>
                    <w:t>3</w:t>
                  </w:r>
                </w:p>
              </w:tc>
              <w:tc>
                <w:tcPr>
                  <w:tcW w:w="612" w:type="pct"/>
                  <w:vAlign w:val="center"/>
                </w:tcPr>
                <w:p w14:paraId="306D62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vAlign w:val="center"/>
                </w:tcPr>
                <w:p w14:paraId="62CF1E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冷却池</w:t>
                  </w:r>
                </w:p>
              </w:tc>
              <w:tc>
                <w:tcPr>
                  <w:tcW w:w="696" w:type="pct"/>
                  <w:vAlign w:val="center"/>
                </w:tcPr>
                <w:p w14:paraId="17B470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lang w:val="en-US" w:eastAsia="zh-CN"/>
                    </w:rPr>
                    <w:t>8</w:t>
                  </w:r>
                  <w:r>
                    <w:rPr>
                      <w:rFonts w:hint="default" w:ascii="Times New Roman" w:hAnsi="Times New Roman" w:eastAsia="宋体" w:cs="Times New Roman"/>
                      <w:bCs/>
                      <w:highlight w:val="none"/>
                    </w:rPr>
                    <w:t>m</w:t>
                  </w:r>
                  <w:r>
                    <w:rPr>
                      <w:rFonts w:hint="default" w:ascii="Times New Roman" w:hAnsi="Times New Roman" w:eastAsia="宋体" w:cs="Times New Roman"/>
                      <w:bCs/>
                      <w:highlight w:val="none"/>
                      <w:vertAlign w:val="superscript"/>
                    </w:rPr>
                    <w:t>3</w:t>
                  </w:r>
                </w:p>
              </w:tc>
              <w:tc>
                <w:tcPr>
                  <w:tcW w:w="680" w:type="pct"/>
                  <w:vAlign w:val="center"/>
                </w:tcPr>
                <w:p w14:paraId="268CF7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lang w:val="en-US" w:eastAsia="zh-CN"/>
                    </w:rPr>
                    <w:t>4</w:t>
                  </w:r>
                </w:p>
              </w:tc>
              <w:tc>
                <w:tcPr>
                  <w:tcW w:w="679" w:type="pct"/>
                  <w:vAlign w:val="center"/>
                </w:tcPr>
                <w:p w14:paraId="34961A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总容积不变</w:t>
                  </w:r>
                </w:p>
              </w:tc>
            </w:tr>
            <w:tr w14:paraId="7C01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315" w:type="pct"/>
                  <w:vAlign w:val="center"/>
                </w:tcPr>
                <w:p w14:paraId="7B28E7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220" w:type="pct"/>
                  <w:vMerge w:val="continue"/>
                  <w:shd w:val="clear" w:color="auto" w:fill="auto"/>
                  <w:vAlign w:val="center"/>
                </w:tcPr>
                <w:p w14:paraId="786A33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vAlign w:val="center"/>
                </w:tcPr>
                <w:p w14:paraId="27A34C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风干机</w:t>
                  </w:r>
                </w:p>
              </w:tc>
              <w:tc>
                <w:tcPr>
                  <w:tcW w:w="525" w:type="pct"/>
                  <w:shd w:val="clear" w:color="auto" w:fill="auto"/>
                  <w:vAlign w:val="center"/>
                </w:tcPr>
                <w:p w14:paraId="3A9590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w:t>
                  </w:r>
                </w:p>
              </w:tc>
              <w:tc>
                <w:tcPr>
                  <w:tcW w:w="612" w:type="pct"/>
                  <w:vAlign w:val="center"/>
                </w:tcPr>
                <w:p w14:paraId="4F1212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758" w:type="pct"/>
                  <w:shd w:val="clear" w:color="auto" w:fill="auto"/>
                  <w:vAlign w:val="center"/>
                </w:tcPr>
                <w:p w14:paraId="5CA43C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风干机</w:t>
                  </w:r>
                </w:p>
              </w:tc>
              <w:tc>
                <w:tcPr>
                  <w:tcW w:w="696" w:type="pct"/>
                  <w:vAlign w:val="center"/>
                </w:tcPr>
                <w:p w14:paraId="15AB72A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w:t>
                  </w:r>
                </w:p>
              </w:tc>
              <w:tc>
                <w:tcPr>
                  <w:tcW w:w="680" w:type="pct"/>
                  <w:vAlign w:val="center"/>
                </w:tcPr>
                <w:p w14:paraId="10A515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w:t>
                  </w:r>
                </w:p>
              </w:tc>
              <w:tc>
                <w:tcPr>
                  <w:tcW w:w="679" w:type="pct"/>
                  <w:vAlign w:val="center"/>
                </w:tcPr>
                <w:p w14:paraId="4CF82D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1281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315" w:type="pct"/>
                  <w:vAlign w:val="center"/>
                </w:tcPr>
                <w:p w14:paraId="3736C84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220" w:type="pct"/>
                  <w:vMerge w:val="continue"/>
                  <w:shd w:val="clear" w:color="auto" w:fill="auto"/>
                  <w:vAlign w:val="center"/>
                </w:tcPr>
                <w:p w14:paraId="304C68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c>
                <w:tcPr>
                  <w:tcW w:w="509" w:type="pct"/>
                  <w:shd w:val="clear" w:color="auto" w:fill="auto"/>
                  <w:vAlign w:val="center"/>
                </w:tcPr>
                <w:p w14:paraId="6E8AFE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纯水制备设备</w:t>
                  </w:r>
                </w:p>
              </w:tc>
              <w:tc>
                <w:tcPr>
                  <w:tcW w:w="525" w:type="pct"/>
                  <w:shd w:val="clear" w:color="auto" w:fill="auto"/>
                  <w:vAlign w:val="center"/>
                </w:tcPr>
                <w:p w14:paraId="581869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20m</w:t>
                  </w:r>
                  <w:r>
                    <w:rPr>
                      <w:rFonts w:hint="default" w:ascii="Times New Roman" w:hAnsi="Times New Roman" w:eastAsia="宋体" w:cs="Times New Roman"/>
                      <w:bCs/>
                      <w:highlight w:val="none"/>
                      <w:vertAlign w:val="superscript"/>
                    </w:rPr>
                    <w:t>3</w:t>
                  </w:r>
                  <w:r>
                    <w:rPr>
                      <w:rFonts w:hint="default" w:ascii="Times New Roman" w:hAnsi="Times New Roman" w:eastAsia="宋体" w:cs="Times New Roman"/>
                      <w:bCs/>
                      <w:highlight w:val="none"/>
                    </w:rPr>
                    <w:t>/h</w:t>
                  </w:r>
                </w:p>
              </w:tc>
              <w:tc>
                <w:tcPr>
                  <w:tcW w:w="612" w:type="pct"/>
                  <w:vAlign w:val="center"/>
                </w:tcPr>
                <w:p w14:paraId="196841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758" w:type="pct"/>
                  <w:shd w:val="clear" w:color="auto" w:fill="auto"/>
                  <w:vAlign w:val="center"/>
                </w:tcPr>
                <w:p w14:paraId="2E7C25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4"/>
                      <w:highlight w:val="none"/>
                      <w:lang w:val="en-US" w:eastAsia="zh-CN" w:bidi="ar-SA"/>
                    </w:rPr>
                  </w:pPr>
                  <w:r>
                    <w:rPr>
                      <w:rFonts w:hint="default" w:ascii="Times New Roman" w:hAnsi="Times New Roman" w:eastAsia="宋体" w:cs="Times New Roman"/>
                      <w:bCs/>
                      <w:highlight w:val="none"/>
                    </w:rPr>
                    <w:t>纯水制备设备</w:t>
                  </w:r>
                </w:p>
              </w:tc>
              <w:tc>
                <w:tcPr>
                  <w:tcW w:w="696" w:type="pct"/>
                  <w:vAlign w:val="center"/>
                </w:tcPr>
                <w:p w14:paraId="59B557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20m</w:t>
                  </w:r>
                  <w:r>
                    <w:rPr>
                      <w:rFonts w:hint="default" w:ascii="Times New Roman" w:hAnsi="Times New Roman" w:eastAsia="宋体" w:cs="Times New Roman"/>
                      <w:bCs/>
                      <w:highlight w:val="none"/>
                      <w:vertAlign w:val="superscript"/>
                    </w:rPr>
                    <w:t>3</w:t>
                  </w:r>
                  <w:r>
                    <w:rPr>
                      <w:rFonts w:hint="default" w:ascii="Times New Roman" w:hAnsi="Times New Roman" w:eastAsia="宋体" w:cs="Times New Roman"/>
                      <w:bCs/>
                      <w:highlight w:val="none"/>
                    </w:rPr>
                    <w:t>/h</w:t>
                  </w:r>
                </w:p>
              </w:tc>
              <w:tc>
                <w:tcPr>
                  <w:tcW w:w="680" w:type="pct"/>
                  <w:vAlign w:val="center"/>
                </w:tcPr>
                <w:p w14:paraId="4B4BDE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highlight w:val="none"/>
                    </w:rPr>
                    <w:t>1</w:t>
                  </w:r>
                </w:p>
              </w:tc>
              <w:tc>
                <w:tcPr>
                  <w:tcW w:w="679" w:type="pct"/>
                  <w:vAlign w:val="center"/>
                </w:tcPr>
                <w:p w14:paraId="294A11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bl>
          <w:p w14:paraId="74A25E2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7</w:t>
            </w:r>
            <w:r>
              <w:rPr>
                <w:rFonts w:hint="default" w:ascii="Times New Roman" w:hAnsi="Times New Roman" w:cs="Times New Roman" w:eastAsiaTheme="minorEastAsia"/>
                <w:b/>
                <w:bCs/>
                <w:color w:val="auto"/>
                <w:kern w:val="2"/>
                <w:sz w:val="21"/>
                <w:szCs w:val="21"/>
                <w:lang w:val="en-US" w:eastAsia="zh-CN" w:bidi="ar-SA"/>
              </w:rPr>
              <w:t xml:space="preserve"> 环保设施环评、实际建设情况一览表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81"/>
              <w:gridCol w:w="1210"/>
              <w:gridCol w:w="1131"/>
              <w:gridCol w:w="917"/>
              <w:gridCol w:w="1193"/>
              <w:gridCol w:w="1228"/>
              <w:gridCol w:w="1096"/>
            </w:tblGrid>
            <w:tr w14:paraId="5F70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93" w:type="pct"/>
                  <w:noWrap w:val="0"/>
                  <w:vAlign w:val="center"/>
                </w:tcPr>
                <w:p w14:paraId="053E8777">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eastAsia"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污染物</w:t>
                  </w:r>
                </w:p>
              </w:tc>
              <w:tc>
                <w:tcPr>
                  <w:tcW w:w="3422" w:type="dxa"/>
                  <w:gridSpan w:val="3"/>
                  <w:noWrap w:val="0"/>
                  <w:vAlign w:val="center"/>
                </w:tcPr>
                <w:p w14:paraId="0CD43F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CESI宋体-GB2312" w:hAnsi="CESI宋体-GB2312" w:eastAsia="CESI宋体-GB2312" w:cs="CESI宋体-GB2312"/>
                      <w:b/>
                      <w:bCs/>
                      <w:color w:val="000000"/>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3338" w:type="dxa"/>
                  <w:gridSpan w:val="3"/>
                  <w:noWrap w:val="0"/>
                  <w:vAlign w:val="center"/>
                </w:tcPr>
                <w:p w14:paraId="3B2A2D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CESI宋体-GB2312" w:hAnsi="CESI宋体-GB2312" w:eastAsia="CESI宋体-GB2312" w:cs="CESI宋体-GB2312"/>
                      <w:b/>
                      <w:bCs/>
                      <w:color w:val="000000"/>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628" w:type="pct"/>
                  <w:noWrap w:val="0"/>
                  <w:vAlign w:val="center"/>
                </w:tcPr>
                <w:p w14:paraId="1D37077D">
                  <w:pPr>
                    <w:pStyle w:val="22"/>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CESI宋体-GB2312" w:hAnsi="CESI宋体-GB2312" w:eastAsia="CESI宋体-GB2312" w:cs="CESI宋体-GB2312"/>
                      <w:b/>
                      <w:bCs/>
                      <w:color w:val="000000"/>
                      <w:sz w:val="21"/>
                      <w:szCs w:val="21"/>
                      <w:lang w:val="en-US" w:eastAsia="zh-CN"/>
                    </w:rPr>
                  </w:pPr>
                  <w:r>
                    <w:rPr>
                      <w:rFonts w:hint="eastAsia" w:ascii="CESI宋体-GB2312" w:hAnsi="CESI宋体-GB2312" w:eastAsia="CESI宋体-GB2312" w:cs="CESI宋体-GB2312"/>
                      <w:b/>
                      <w:bCs/>
                      <w:color w:val="000000"/>
                      <w:sz w:val="21"/>
                      <w:szCs w:val="21"/>
                      <w:lang w:val="en-US" w:eastAsia="zh-CN"/>
                    </w:rPr>
                    <w:t>变化情况</w:t>
                  </w:r>
                </w:p>
              </w:tc>
            </w:tr>
            <w:tr w14:paraId="5D39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trPr>
              <w:tc>
                <w:tcPr>
                  <w:tcW w:w="493" w:type="pct"/>
                  <w:noWrap w:val="0"/>
                  <w:vAlign w:val="center"/>
                </w:tcPr>
                <w:p w14:paraId="3492CF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1962" w:type="pct"/>
                  <w:gridSpan w:val="3"/>
                  <w:shd w:val="clear" w:color="auto" w:fill="auto"/>
                  <w:noWrap w:val="0"/>
                  <w:vAlign w:val="center"/>
                </w:tcPr>
                <w:p w14:paraId="37F11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经集气装置收集后引至“UV光催化+活性炭吸附”进行处理，最终由1根15m排气筒排放</w:t>
                  </w:r>
                </w:p>
              </w:tc>
              <w:tc>
                <w:tcPr>
                  <w:tcW w:w="1914" w:type="pct"/>
                  <w:gridSpan w:val="3"/>
                  <w:shd w:val="clear" w:color="auto" w:fill="auto"/>
                  <w:noWrap w:val="0"/>
                  <w:vAlign w:val="center"/>
                </w:tcPr>
                <w:p w14:paraId="0B7D21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经集气装置收集后引至“二级活性炭吸附”进行处理，最终由1根15m排气筒排放</w:t>
                  </w:r>
                </w:p>
              </w:tc>
              <w:tc>
                <w:tcPr>
                  <w:tcW w:w="628" w:type="pct"/>
                  <w:noWrap w:val="0"/>
                  <w:vAlign w:val="center"/>
                </w:tcPr>
                <w:p w14:paraId="4F0D41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将UV光催化更换为活性炭吸附装置</w:t>
                  </w:r>
                </w:p>
              </w:tc>
            </w:tr>
            <w:tr w14:paraId="5894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93" w:type="pct"/>
                  <w:vMerge w:val="restart"/>
                  <w:noWrap w:val="0"/>
                  <w:vAlign w:val="center"/>
                </w:tcPr>
                <w:p w14:paraId="71D3F4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w:t>
                  </w:r>
                </w:p>
              </w:tc>
              <w:tc>
                <w:tcPr>
                  <w:tcW w:w="620" w:type="pct"/>
                  <w:shd w:val="clear" w:color="auto" w:fill="auto"/>
                  <w:noWrap w:val="0"/>
                  <w:vAlign w:val="center"/>
                </w:tcPr>
                <w:p w14:paraId="7AB93B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p>
              </w:tc>
              <w:tc>
                <w:tcPr>
                  <w:tcW w:w="694" w:type="pct"/>
                  <w:shd w:val="clear" w:color="auto" w:fill="auto"/>
                  <w:noWrap w:val="0"/>
                  <w:vAlign w:val="center"/>
                </w:tcPr>
                <w:p w14:paraId="77211A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经化粪池处理后</w:t>
                  </w:r>
                </w:p>
              </w:tc>
              <w:tc>
                <w:tcPr>
                  <w:tcW w:w="648" w:type="pct"/>
                  <w:vMerge w:val="restart"/>
                  <w:shd w:val="clear" w:color="auto" w:fill="auto"/>
                  <w:noWrap w:val="0"/>
                  <w:vAlign w:val="center"/>
                </w:tcPr>
                <w:p w14:paraId="2FDE52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一同排入</w:t>
                  </w: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常源污水处理厂</w:t>
                  </w:r>
                  <w:r>
                    <w:rPr>
                      <w:rFonts w:hint="default" w:ascii="Times New Roman" w:hAnsi="Times New Roman" w:cs="Times New Roman" w:eastAsiaTheme="minorEastAsia"/>
                      <w:sz w:val="21"/>
                      <w:szCs w:val="21"/>
                      <w:lang w:val="en-US" w:eastAsia="zh-CN"/>
                    </w:rPr>
                    <w:t>进一步处理</w:t>
                  </w:r>
                </w:p>
              </w:tc>
              <w:tc>
                <w:tcPr>
                  <w:tcW w:w="525" w:type="pct"/>
                  <w:shd w:val="clear" w:color="auto" w:fill="auto"/>
                  <w:noWrap w:val="0"/>
                  <w:vAlign w:val="center"/>
                </w:tcPr>
                <w:p w14:paraId="375219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p>
              </w:tc>
              <w:tc>
                <w:tcPr>
                  <w:tcW w:w="684" w:type="pct"/>
                  <w:shd w:val="clear" w:color="auto" w:fill="auto"/>
                  <w:noWrap w:val="0"/>
                  <w:vAlign w:val="center"/>
                </w:tcPr>
                <w:p w14:paraId="5724D7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经化粪池处理后</w:t>
                  </w:r>
                </w:p>
              </w:tc>
              <w:tc>
                <w:tcPr>
                  <w:tcW w:w="704" w:type="pct"/>
                  <w:vMerge w:val="restart"/>
                  <w:noWrap w:val="0"/>
                  <w:vAlign w:val="center"/>
                </w:tcPr>
                <w:p w14:paraId="76A7CF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一同排入</w:t>
                  </w: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常源污水处理厂</w:t>
                  </w:r>
                  <w:r>
                    <w:rPr>
                      <w:rFonts w:hint="default" w:ascii="Times New Roman" w:hAnsi="Times New Roman" w:cs="Times New Roman" w:eastAsiaTheme="minorEastAsia"/>
                      <w:sz w:val="21"/>
                      <w:szCs w:val="21"/>
                      <w:lang w:val="en-US" w:eastAsia="zh-CN"/>
                    </w:rPr>
                    <w:t>进一步处理</w:t>
                  </w:r>
                </w:p>
              </w:tc>
              <w:tc>
                <w:tcPr>
                  <w:tcW w:w="628" w:type="pct"/>
                  <w:noWrap w:val="0"/>
                  <w:vAlign w:val="center"/>
                </w:tcPr>
                <w:p w14:paraId="203657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5CE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93" w:type="pct"/>
                  <w:vMerge w:val="continue"/>
                  <w:noWrap w:val="0"/>
                  <w:vAlign w:val="center"/>
                </w:tcPr>
                <w:p w14:paraId="5B5A38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0" w:type="pct"/>
                  <w:shd w:val="clear" w:color="auto" w:fill="auto"/>
                  <w:noWrap w:val="0"/>
                  <w:vAlign w:val="center"/>
                </w:tcPr>
                <w:p w14:paraId="0D86E6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w:t>
                  </w:r>
                  <w:r>
                    <w:rPr>
                      <w:rFonts w:hint="default" w:ascii="Times New Roman" w:hAnsi="Times New Roman" w:cs="Times New Roman" w:eastAsiaTheme="minorEastAsia"/>
                      <w:sz w:val="21"/>
                      <w:szCs w:val="21"/>
                      <w:lang w:val="en-US" w:eastAsia="zh-CN"/>
                    </w:rPr>
                    <w:t>废水</w:t>
                  </w:r>
                </w:p>
              </w:tc>
              <w:tc>
                <w:tcPr>
                  <w:tcW w:w="694" w:type="pct"/>
                  <w:shd w:val="clear" w:color="auto" w:fill="auto"/>
                  <w:noWrap w:val="0"/>
                  <w:vAlign w:val="center"/>
                </w:tcPr>
                <w:p w14:paraId="549D6D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经</w:t>
                  </w:r>
                  <w:r>
                    <w:rPr>
                      <w:rFonts w:hint="eastAsia" w:ascii="Times New Roman" w:hAnsi="Times New Roman" w:cs="Times New Roman" w:eastAsiaTheme="minorEastAsia"/>
                      <w:sz w:val="21"/>
                      <w:szCs w:val="21"/>
                      <w:lang w:val="en-US" w:eastAsia="zh-CN"/>
                    </w:rPr>
                    <w:t>厂区调节池调节</w:t>
                  </w:r>
                  <w:r>
                    <w:rPr>
                      <w:rFonts w:hint="default" w:ascii="Times New Roman" w:hAnsi="Times New Roman" w:cs="Times New Roman" w:eastAsiaTheme="minorEastAsia"/>
                      <w:sz w:val="21"/>
                      <w:szCs w:val="21"/>
                      <w:lang w:val="en-US" w:eastAsia="zh-CN"/>
                    </w:rPr>
                    <w:t>后</w:t>
                  </w:r>
                </w:p>
              </w:tc>
              <w:tc>
                <w:tcPr>
                  <w:tcW w:w="648" w:type="pct"/>
                  <w:vMerge w:val="continue"/>
                  <w:shd w:val="clear" w:color="auto" w:fill="auto"/>
                  <w:noWrap w:val="0"/>
                  <w:vAlign w:val="center"/>
                </w:tcPr>
                <w:p w14:paraId="5D1EC8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525" w:type="pct"/>
                  <w:shd w:val="clear" w:color="auto" w:fill="auto"/>
                  <w:noWrap w:val="0"/>
                  <w:vAlign w:val="center"/>
                </w:tcPr>
                <w:p w14:paraId="148E8C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w:t>
                  </w:r>
                  <w:r>
                    <w:rPr>
                      <w:rFonts w:hint="default" w:ascii="Times New Roman" w:hAnsi="Times New Roman" w:cs="Times New Roman" w:eastAsiaTheme="minorEastAsia"/>
                      <w:sz w:val="21"/>
                      <w:szCs w:val="21"/>
                      <w:lang w:val="en-US" w:eastAsia="zh-CN"/>
                    </w:rPr>
                    <w:t>废水</w:t>
                  </w:r>
                </w:p>
              </w:tc>
              <w:tc>
                <w:tcPr>
                  <w:tcW w:w="684" w:type="pct"/>
                  <w:shd w:val="clear" w:color="auto" w:fill="auto"/>
                  <w:noWrap w:val="0"/>
                  <w:vAlign w:val="center"/>
                </w:tcPr>
                <w:p w14:paraId="166EE0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经</w:t>
                  </w:r>
                  <w:r>
                    <w:rPr>
                      <w:rFonts w:hint="eastAsia" w:ascii="Times New Roman" w:hAnsi="Times New Roman" w:cs="Times New Roman" w:eastAsiaTheme="minorEastAsia"/>
                      <w:sz w:val="21"/>
                      <w:szCs w:val="21"/>
                      <w:lang w:val="en-US" w:eastAsia="zh-CN"/>
                    </w:rPr>
                    <w:t>厂区调节池调节</w:t>
                  </w:r>
                  <w:r>
                    <w:rPr>
                      <w:rFonts w:hint="default" w:ascii="Times New Roman" w:hAnsi="Times New Roman" w:cs="Times New Roman" w:eastAsiaTheme="minorEastAsia"/>
                      <w:sz w:val="21"/>
                      <w:szCs w:val="21"/>
                      <w:lang w:val="en-US" w:eastAsia="zh-CN"/>
                    </w:rPr>
                    <w:t>后</w:t>
                  </w:r>
                </w:p>
              </w:tc>
              <w:tc>
                <w:tcPr>
                  <w:tcW w:w="704" w:type="pct"/>
                  <w:vMerge w:val="continue"/>
                  <w:noWrap w:val="0"/>
                  <w:vAlign w:val="center"/>
                </w:tcPr>
                <w:p w14:paraId="0829AC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p>
              </w:tc>
              <w:tc>
                <w:tcPr>
                  <w:tcW w:w="628" w:type="pct"/>
                  <w:noWrap w:val="0"/>
                  <w:vAlign w:val="center"/>
                </w:tcPr>
                <w:p w14:paraId="41EF92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6E5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93" w:type="pct"/>
                  <w:shd w:val="clear" w:color="auto" w:fill="auto"/>
                  <w:noWrap w:val="0"/>
                  <w:vAlign w:val="center"/>
                </w:tcPr>
                <w:p w14:paraId="731FD9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1962" w:type="pct"/>
                  <w:gridSpan w:val="3"/>
                  <w:shd w:val="clear" w:color="auto" w:fill="auto"/>
                  <w:noWrap w:val="0"/>
                  <w:vAlign w:val="center"/>
                </w:tcPr>
                <w:p w14:paraId="49C7D1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固废为废包装材料、废离子树脂、废UV灯管，厂区内设置一般固废暂存间，均定期外售</w:t>
                  </w:r>
                </w:p>
              </w:tc>
              <w:tc>
                <w:tcPr>
                  <w:tcW w:w="1914" w:type="pct"/>
                  <w:gridSpan w:val="3"/>
                  <w:shd w:val="clear" w:color="auto" w:fill="auto"/>
                  <w:noWrap w:val="0"/>
                  <w:vAlign w:val="center"/>
                </w:tcPr>
                <w:p w14:paraId="7BDC82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固废为废包装材料、废离子树脂，厂区内设置一般固废暂存间，均定期外售</w:t>
                  </w:r>
                </w:p>
              </w:tc>
              <w:tc>
                <w:tcPr>
                  <w:tcW w:w="628" w:type="pct"/>
                  <w:noWrap w:val="0"/>
                  <w:vAlign w:val="center"/>
                </w:tcPr>
                <w:p w14:paraId="213E62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取消废UV灯管</w:t>
                  </w:r>
                </w:p>
              </w:tc>
            </w:tr>
            <w:tr w14:paraId="226F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493" w:type="pct"/>
                  <w:shd w:val="clear" w:color="auto" w:fill="auto"/>
                  <w:noWrap w:val="0"/>
                  <w:vAlign w:val="center"/>
                </w:tcPr>
                <w:p w14:paraId="3E7111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危险固废</w:t>
                  </w:r>
                </w:p>
              </w:tc>
              <w:tc>
                <w:tcPr>
                  <w:tcW w:w="1962" w:type="pct"/>
                  <w:gridSpan w:val="3"/>
                  <w:shd w:val="clear" w:color="auto" w:fill="auto"/>
                  <w:noWrap w:val="0"/>
                  <w:vAlign w:val="center"/>
                </w:tcPr>
                <w:p w14:paraId="73572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危废为废活性炭，厂区设置危险废物暂存间，定期交有资质单位进行处理。</w:t>
                  </w:r>
                </w:p>
              </w:tc>
              <w:tc>
                <w:tcPr>
                  <w:tcW w:w="1914" w:type="pct"/>
                  <w:gridSpan w:val="3"/>
                  <w:shd w:val="clear" w:color="auto" w:fill="auto"/>
                  <w:noWrap w:val="0"/>
                  <w:vAlign w:val="center"/>
                </w:tcPr>
                <w:p w14:paraId="5A7B4B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危废为废活性炭，厂区设置危险废物暂存间，定期交有资质单位进行处理。</w:t>
                  </w:r>
                </w:p>
              </w:tc>
              <w:tc>
                <w:tcPr>
                  <w:tcW w:w="628" w:type="pct"/>
                  <w:noWrap w:val="0"/>
                  <w:vAlign w:val="center"/>
                </w:tcPr>
                <w:p w14:paraId="37605C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bl>
          <w:p w14:paraId="233A20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14:paraId="22D3FAE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8</w:t>
            </w:r>
            <w:r>
              <w:rPr>
                <w:rFonts w:hint="default" w:ascii="Times New Roman" w:hAnsi="Times New Roman" w:cs="Times New Roman" w:eastAsiaTheme="minorEastAsia"/>
                <w:b/>
                <w:bCs/>
                <w:color w:val="auto"/>
                <w:kern w:val="2"/>
                <w:sz w:val="21"/>
                <w:szCs w:val="21"/>
                <w:lang w:val="en-US" w:eastAsia="zh-CN" w:bidi="ar-SA"/>
              </w:rPr>
              <w:t xml:space="preserve"> 本工程原辅材料及能源消耗情况一览表</w:t>
            </w:r>
          </w:p>
          <w:tbl>
            <w:tblPr>
              <w:tblStyle w:val="30"/>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641"/>
              <w:gridCol w:w="1830"/>
              <w:gridCol w:w="2160"/>
              <w:gridCol w:w="2524"/>
            </w:tblGrid>
            <w:tr w14:paraId="5006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2" w:type="dxa"/>
                  <w:noWrap w:val="0"/>
                  <w:vAlign w:val="center"/>
                </w:tcPr>
                <w:p w14:paraId="29D6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序号</w:t>
                  </w:r>
                </w:p>
              </w:tc>
              <w:tc>
                <w:tcPr>
                  <w:tcW w:w="1641" w:type="dxa"/>
                  <w:noWrap w:val="0"/>
                  <w:vAlign w:val="center"/>
                </w:tcPr>
                <w:p w14:paraId="58901C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原料名称</w:t>
                  </w:r>
                </w:p>
              </w:tc>
              <w:tc>
                <w:tcPr>
                  <w:tcW w:w="1830" w:type="dxa"/>
                  <w:noWrap w:val="0"/>
                  <w:vAlign w:val="center"/>
                </w:tcPr>
                <w:p w14:paraId="0F747D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lang w:val="en-US" w:eastAsia="zh-CN"/>
                    </w:rPr>
                    <w:t>计划年消耗量</w:t>
                  </w:r>
                </w:p>
              </w:tc>
              <w:tc>
                <w:tcPr>
                  <w:tcW w:w="2160" w:type="dxa"/>
                  <w:noWrap w:val="0"/>
                  <w:vAlign w:val="center"/>
                </w:tcPr>
                <w:p w14:paraId="0C879F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lang w:val="en-US" w:eastAsia="zh-CN"/>
                    </w:rPr>
                    <w:t>实际年消耗量（t）</w:t>
                  </w:r>
                </w:p>
              </w:tc>
              <w:tc>
                <w:tcPr>
                  <w:tcW w:w="2524" w:type="dxa"/>
                  <w:noWrap w:val="0"/>
                  <w:vAlign w:val="center"/>
                </w:tcPr>
                <w:p w14:paraId="7F6F4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lang w:val="en-US" w:eastAsia="zh-CN"/>
                    </w:rPr>
                    <w:t>变化情况</w:t>
                  </w:r>
                </w:p>
              </w:tc>
            </w:tr>
            <w:tr w14:paraId="7A65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noWrap w:val="0"/>
                  <w:vAlign w:val="center"/>
                </w:tcPr>
                <w:p w14:paraId="17B694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w:t>
                  </w:r>
                </w:p>
              </w:tc>
              <w:tc>
                <w:tcPr>
                  <w:tcW w:w="1641" w:type="dxa"/>
                  <w:noWrap w:val="0"/>
                  <w:vAlign w:val="center"/>
                </w:tcPr>
                <w:p w14:paraId="0822F0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红小豆</w:t>
                  </w:r>
                </w:p>
              </w:tc>
              <w:tc>
                <w:tcPr>
                  <w:tcW w:w="1830" w:type="dxa"/>
                  <w:shd w:val="clear" w:color="auto" w:fill="auto"/>
                  <w:noWrap w:val="0"/>
                  <w:vAlign w:val="center"/>
                </w:tcPr>
                <w:p w14:paraId="0DC8FB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380t/a</w:t>
                  </w:r>
                </w:p>
              </w:tc>
              <w:tc>
                <w:tcPr>
                  <w:tcW w:w="2160" w:type="dxa"/>
                  <w:noWrap w:val="0"/>
                  <w:vAlign w:val="center"/>
                </w:tcPr>
                <w:p w14:paraId="07565A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380t/a</w:t>
                  </w:r>
                </w:p>
              </w:tc>
              <w:tc>
                <w:tcPr>
                  <w:tcW w:w="2524" w:type="dxa"/>
                  <w:noWrap w:val="0"/>
                  <w:vAlign w:val="center"/>
                </w:tcPr>
                <w:p w14:paraId="7204C0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3919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noWrap w:val="0"/>
                  <w:vAlign w:val="center"/>
                </w:tcPr>
                <w:p w14:paraId="5EA2B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w:t>
                  </w:r>
                </w:p>
              </w:tc>
              <w:tc>
                <w:tcPr>
                  <w:tcW w:w="1641" w:type="dxa"/>
                  <w:noWrap w:val="0"/>
                  <w:vAlign w:val="center"/>
                </w:tcPr>
                <w:p w14:paraId="6BF182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绿小豆</w:t>
                  </w:r>
                </w:p>
              </w:tc>
              <w:tc>
                <w:tcPr>
                  <w:tcW w:w="1830" w:type="dxa"/>
                  <w:shd w:val="clear" w:color="auto" w:fill="auto"/>
                  <w:noWrap w:val="0"/>
                  <w:vAlign w:val="center"/>
                </w:tcPr>
                <w:p w14:paraId="0E98A9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220t/a</w:t>
                  </w:r>
                </w:p>
              </w:tc>
              <w:tc>
                <w:tcPr>
                  <w:tcW w:w="2160" w:type="dxa"/>
                  <w:noWrap w:val="0"/>
                  <w:vAlign w:val="center"/>
                </w:tcPr>
                <w:p w14:paraId="7832D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220t/a</w:t>
                  </w:r>
                </w:p>
              </w:tc>
              <w:tc>
                <w:tcPr>
                  <w:tcW w:w="2524" w:type="dxa"/>
                  <w:noWrap w:val="0"/>
                  <w:vAlign w:val="center"/>
                </w:tcPr>
                <w:p w14:paraId="29380E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459A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noWrap w:val="0"/>
                  <w:vAlign w:val="center"/>
                </w:tcPr>
                <w:p w14:paraId="08D67B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w:t>
                  </w:r>
                </w:p>
              </w:tc>
              <w:tc>
                <w:tcPr>
                  <w:tcW w:w="1641" w:type="dxa"/>
                  <w:noWrap w:val="0"/>
                  <w:vAlign w:val="center"/>
                </w:tcPr>
                <w:p w14:paraId="340F31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白砂糖</w:t>
                  </w:r>
                </w:p>
              </w:tc>
              <w:tc>
                <w:tcPr>
                  <w:tcW w:w="1830" w:type="dxa"/>
                  <w:shd w:val="clear" w:color="auto" w:fill="auto"/>
                  <w:noWrap w:val="0"/>
                  <w:vAlign w:val="center"/>
                </w:tcPr>
                <w:p w14:paraId="32D64C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330t/a</w:t>
                  </w:r>
                </w:p>
              </w:tc>
              <w:tc>
                <w:tcPr>
                  <w:tcW w:w="2160" w:type="dxa"/>
                  <w:noWrap w:val="0"/>
                  <w:vAlign w:val="center"/>
                </w:tcPr>
                <w:p w14:paraId="496C3F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330t/a</w:t>
                  </w:r>
                </w:p>
              </w:tc>
              <w:tc>
                <w:tcPr>
                  <w:tcW w:w="2524" w:type="dxa"/>
                  <w:noWrap w:val="0"/>
                  <w:vAlign w:val="center"/>
                </w:tcPr>
                <w:p w14:paraId="4F7A39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6DC2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noWrap w:val="0"/>
                  <w:vAlign w:val="center"/>
                </w:tcPr>
                <w:p w14:paraId="4AD4E0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w:t>
                  </w:r>
                </w:p>
              </w:tc>
              <w:tc>
                <w:tcPr>
                  <w:tcW w:w="1641" w:type="dxa"/>
                  <w:noWrap w:val="0"/>
                  <w:vAlign w:val="center"/>
                </w:tcPr>
                <w:p w14:paraId="3CD3D3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麦芽糖醇</w:t>
                  </w:r>
                </w:p>
              </w:tc>
              <w:tc>
                <w:tcPr>
                  <w:tcW w:w="1830" w:type="dxa"/>
                  <w:shd w:val="clear" w:color="auto" w:fill="auto"/>
                  <w:noWrap w:val="0"/>
                  <w:vAlign w:val="center"/>
                </w:tcPr>
                <w:p w14:paraId="117541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300t/a</w:t>
                  </w:r>
                </w:p>
              </w:tc>
              <w:tc>
                <w:tcPr>
                  <w:tcW w:w="2160" w:type="dxa"/>
                  <w:noWrap w:val="0"/>
                  <w:vAlign w:val="center"/>
                </w:tcPr>
                <w:p w14:paraId="0CDA13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300t/a</w:t>
                  </w:r>
                </w:p>
              </w:tc>
              <w:tc>
                <w:tcPr>
                  <w:tcW w:w="2524" w:type="dxa"/>
                  <w:noWrap w:val="0"/>
                  <w:vAlign w:val="center"/>
                </w:tcPr>
                <w:p w14:paraId="112E1A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5C03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noWrap w:val="0"/>
                  <w:vAlign w:val="center"/>
                </w:tcPr>
                <w:p w14:paraId="4A075B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w:t>
                  </w:r>
                </w:p>
              </w:tc>
              <w:tc>
                <w:tcPr>
                  <w:tcW w:w="1641" w:type="dxa"/>
                  <w:noWrap w:val="0"/>
                  <w:vAlign w:val="center"/>
                </w:tcPr>
                <w:p w14:paraId="76DDEF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包装袋</w:t>
                  </w:r>
                </w:p>
              </w:tc>
              <w:tc>
                <w:tcPr>
                  <w:tcW w:w="1830" w:type="dxa"/>
                  <w:shd w:val="clear" w:color="auto" w:fill="auto"/>
                  <w:noWrap w:val="0"/>
                  <w:vAlign w:val="center"/>
                </w:tcPr>
                <w:p w14:paraId="7894B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9t/a</w:t>
                  </w:r>
                </w:p>
              </w:tc>
              <w:tc>
                <w:tcPr>
                  <w:tcW w:w="2160" w:type="dxa"/>
                  <w:noWrap w:val="0"/>
                  <w:vAlign w:val="center"/>
                </w:tcPr>
                <w:p w14:paraId="42864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9t/a</w:t>
                  </w:r>
                </w:p>
              </w:tc>
              <w:tc>
                <w:tcPr>
                  <w:tcW w:w="2524" w:type="dxa"/>
                  <w:noWrap w:val="0"/>
                  <w:vAlign w:val="center"/>
                </w:tcPr>
                <w:p w14:paraId="16351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0A38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noWrap w:val="0"/>
                  <w:vAlign w:val="center"/>
                </w:tcPr>
                <w:p w14:paraId="7D7E83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6</w:t>
                  </w:r>
                </w:p>
              </w:tc>
              <w:tc>
                <w:tcPr>
                  <w:tcW w:w="1641" w:type="dxa"/>
                  <w:noWrap w:val="0"/>
                  <w:vAlign w:val="center"/>
                </w:tcPr>
                <w:p w14:paraId="513B77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包装箱</w:t>
                  </w:r>
                </w:p>
              </w:tc>
              <w:tc>
                <w:tcPr>
                  <w:tcW w:w="1830" w:type="dxa"/>
                  <w:shd w:val="clear" w:color="auto" w:fill="auto"/>
                  <w:noWrap w:val="0"/>
                  <w:vAlign w:val="center"/>
                </w:tcPr>
                <w:p w14:paraId="0E84E9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40t/a</w:t>
                  </w:r>
                </w:p>
              </w:tc>
              <w:tc>
                <w:tcPr>
                  <w:tcW w:w="2160" w:type="dxa"/>
                  <w:noWrap w:val="0"/>
                  <w:vAlign w:val="center"/>
                </w:tcPr>
                <w:p w14:paraId="77FB07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40t/a</w:t>
                  </w:r>
                </w:p>
              </w:tc>
              <w:tc>
                <w:tcPr>
                  <w:tcW w:w="2524" w:type="dxa"/>
                  <w:noWrap w:val="0"/>
                  <w:vAlign w:val="center"/>
                </w:tcPr>
                <w:p w14:paraId="6F82A0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5DAA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noWrap w:val="0"/>
                  <w:vAlign w:val="center"/>
                </w:tcPr>
                <w:p w14:paraId="76EE24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7</w:t>
                  </w:r>
                </w:p>
              </w:tc>
              <w:tc>
                <w:tcPr>
                  <w:tcW w:w="1641" w:type="dxa"/>
                  <w:noWrap w:val="0"/>
                  <w:vAlign w:val="center"/>
                </w:tcPr>
                <w:p w14:paraId="64D3EC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蒸汽</w:t>
                  </w:r>
                </w:p>
              </w:tc>
              <w:tc>
                <w:tcPr>
                  <w:tcW w:w="1830" w:type="dxa"/>
                  <w:shd w:val="clear" w:color="auto" w:fill="auto"/>
                  <w:noWrap w:val="0"/>
                  <w:vAlign w:val="center"/>
                </w:tcPr>
                <w:p w14:paraId="2C7C46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1500m</w:t>
                  </w:r>
                  <w:r>
                    <w:rPr>
                      <w:rFonts w:hint="eastAsia" w:ascii="Times New Roman" w:hAnsi="Times New Roman" w:cs="Times New Roman" w:eastAsiaTheme="minorEastAsia"/>
                      <w:sz w:val="21"/>
                      <w:szCs w:val="21"/>
                      <w:highlight w:val="none"/>
                      <w:vertAlign w:val="superscript"/>
                      <w:lang w:val="en-US" w:eastAsia="zh-CN"/>
                    </w:rPr>
                    <w:t>3</w:t>
                  </w:r>
                  <w:r>
                    <w:rPr>
                      <w:rFonts w:hint="eastAsia" w:ascii="Times New Roman" w:hAnsi="Times New Roman" w:cs="Times New Roman" w:eastAsiaTheme="minorEastAsia"/>
                      <w:sz w:val="21"/>
                      <w:szCs w:val="21"/>
                      <w:highlight w:val="none"/>
                      <w:lang w:val="en-US" w:eastAsia="zh-CN"/>
                    </w:rPr>
                    <w:t>/a</w:t>
                  </w:r>
                </w:p>
              </w:tc>
              <w:tc>
                <w:tcPr>
                  <w:tcW w:w="2160" w:type="dxa"/>
                  <w:noWrap w:val="0"/>
                  <w:vAlign w:val="center"/>
                </w:tcPr>
                <w:p w14:paraId="008DE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1500m</w:t>
                  </w:r>
                  <w:r>
                    <w:rPr>
                      <w:rFonts w:hint="eastAsia" w:ascii="Times New Roman" w:hAnsi="Times New Roman" w:cs="Times New Roman" w:eastAsiaTheme="minorEastAsia"/>
                      <w:sz w:val="21"/>
                      <w:szCs w:val="21"/>
                      <w:highlight w:val="none"/>
                      <w:vertAlign w:val="superscript"/>
                      <w:lang w:val="en-US" w:eastAsia="zh-CN"/>
                    </w:rPr>
                    <w:t>3</w:t>
                  </w:r>
                  <w:r>
                    <w:rPr>
                      <w:rFonts w:hint="eastAsia" w:ascii="Times New Roman" w:hAnsi="Times New Roman" w:cs="Times New Roman" w:eastAsiaTheme="minorEastAsia"/>
                      <w:sz w:val="21"/>
                      <w:szCs w:val="21"/>
                      <w:highlight w:val="none"/>
                      <w:lang w:val="en-US" w:eastAsia="zh-CN"/>
                    </w:rPr>
                    <w:t>/a</w:t>
                  </w:r>
                </w:p>
              </w:tc>
              <w:tc>
                <w:tcPr>
                  <w:tcW w:w="2524" w:type="dxa"/>
                  <w:noWrap w:val="0"/>
                  <w:vAlign w:val="center"/>
                </w:tcPr>
                <w:p w14:paraId="217990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0ED2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2" w:type="dxa"/>
                  <w:noWrap w:val="0"/>
                  <w:vAlign w:val="center"/>
                </w:tcPr>
                <w:p w14:paraId="0780BC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8</w:t>
                  </w:r>
                </w:p>
              </w:tc>
              <w:tc>
                <w:tcPr>
                  <w:tcW w:w="1641" w:type="dxa"/>
                  <w:noWrap w:val="0"/>
                  <w:vAlign w:val="center"/>
                </w:tcPr>
                <w:p w14:paraId="2E9461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新鲜水</w:t>
                  </w:r>
                </w:p>
              </w:tc>
              <w:tc>
                <w:tcPr>
                  <w:tcW w:w="1830" w:type="dxa"/>
                  <w:shd w:val="clear" w:color="auto" w:fill="auto"/>
                  <w:noWrap w:val="0"/>
                  <w:vAlign w:val="center"/>
                </w:tcPr>
                <w:p w14:paraId="018F28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5588.5m</w:t>
                  </w:r>
                  <w:r>
                    <w:rPr>
                      <w:rFonts w:hint="eastAsia" w:ascii="Times New Roman" w:hAnsi="Times New Roman" w:cs="Times New Roman" w:eastAsiaTheme="minorEastAsia"/>
                      <w:sz w:val="21"/>
                      <w:szCs w:val="21"/>
                      <w:highlight w:val="none"/>
                      <w:vertAlign w:val="superscript"/>
                      <w:lang w:val="en-US" w:eastAsia="zh-CN"/>
                    </w:rPr>
                    <w:t>3</w:t>
                  </w:r>
                  <w:r>
                    <w:rPr>
                      <w:rFonts w:hint="eastAsia" w:ascii="Times New Roman" w:hAnsi="Times New Roman" w:cs="Times New Roman" w:eastAsiaTheme="minorEastAsia"/>
                      <w:sz w:val="21"/>
                      <w:szCs w:val="21"/>
                      <w:highlight w:val="none"/>
                      <w:lang w:val="en-US" w:eastAsia="zh-CN"/>
                    </w:rPr>
                    <w:t>/a</w:t>
                  </w:r>
                </w:p>
              </w:tc>
              <w:tc>
                <w:tcPr>
                  <w:tcW w:w="2160" w:type="dxa"/>
                  <w:noWrap w:val="0"/>
                  <w:vAlign w:val="center"/>
                </w:tcPr>
                <w:p w14:paraId="2EBF21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5588.5m</w:t>
                  </w:r>
                  <w:r>
                    <w:rPr>
                      <w:rFonts w:hint="eastAsia" w:ascii="Times New Roman" w:hAnsi="Times New Roman" w:cs="Times New Roman" w:eastAsiaTheme="minorEastAsia"/>
                      <w:sz w:val="21"/>
                      <w:szCs w:val="21"/>
                      <w:highlight w:val="none"/>
                      <w:vertAlign w:val="superscript"/>
                      <w:lang w:val="en-US" w:eastAsia="zh-CN"/>
                    </w:rPr>
                    <w:t>3</w:t>
                  </w:r>
                  <w:r>
                    <w:rPr>
                      <w:rFonts w:hint="eastAsia" w:ascii="Times New Roman" w:hAnsi="Times New Roman" w:cs="Times New Roman" w:eastAsiaTheme="minorEastAsia"/>
                      <w:sz w:val="21"/>
                      <w:szCs w:val="21"/>
                      <w:highlight w:val="none"/>
                      <w:lang w:val="en-US" w:eastAsia="zh-CN"/>
                    </w:rPr>
                    <w:t>/a</w:t>
                  </w:r>
                </w:p>
              </w:tc>
              <w:tc>
                <w:tcPr>
                  <w:tcW w:w="2524" w:type="dxa"/>
                  <w:noWrap w:val="0"/>
                  <w:vAlign w:val="center"/>
                </w:tcPr>
                <w:p w14:paraId="74B528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4EB5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22" w:type="dxa"/>
                  <w:noWrap w:val="0"/>
                  <w:vAlign w:val="center"/>
                </w:tcPr>
                <w:p w14:paraId="25ACC9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9</w:t>
                  </w:r>
                </w:p>
              </w:tc>
              <w:tc>
                <w:tcPr>
                  <w:tcW w:w="1641" w:type="dxa"/>
                  <w:noWrap w:val="0"/>
                  <w:vAlign w:val="center"/>
                </w:tcPr>
                <w:p w14:paraId="5A3C0E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电</w:t>
                  </w:r>
                </w:p>
              </w:tc>
              <w:tc>
                <w:tcPr>
                  <w:tcW w:w="1830" w:type="dxa"/>
                  <w:shd w:val="clear" w:color="auto" w:fill="auto"/>
                  <w:noWrap w:val="0"/>
                  <w:vAlign w:val="center"/>
                </w:tcPr>
                <w:p w14:paraId="76D704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highlight w:val="none"/>
                      <w:lang w:val="en-US" w:eastAsia="zh-CN"/>
                    </w:rPr>
                    <w:t>10万Kwh/a</w:t>
                  </w:r>
                </w:p>
              </w:tc>
              <w:tc>
                <w:tcPr>
                  <w:tcW w:w="2160" w:type="dxa"/>
                  <w:noWrap w:val="0"/>
                  <w:vAlign w:val="center"/>
                </w:tcPr>
                <w:p w14:paraId="18739E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10万Kwh/a</w:t>
                  </w:r>
                </w:p>
              </w:tc>
              <w:tc>
                <w:tcPr>
                  <w:tcW w:w="2524" w:type="dxa"/>
                  <w:noWrap w:val="0"/>
                  <w:vAlign w:val="center"/>
                </w:tcPr>
                <w:p w14:paraId="11490E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bl>
          <w:p w14:paraId="188302CA">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color w:val="000000"/>
                <w:sz w:val="24"/>
                <w:highlight w:val="none"/>
                <w:u w:val="none"/>
              </w:rPr>
              <w:t>本项目营运期废水主要有洗豆</w:t>
            </w:r>
            <w:r>
              <w:rPr>
                <w:rFonts w:hint="default" w:ascii="Times New Roman" w:hAnsi="Times New Roman" w:eastAsia="宋体" w:cs="Times New Roman"/>
                <w:b w:val="0"/>
                <w:bCs/>
                <w:sz w:val="24"/>
                <w:highlight w:val="none"/>
                <w:u w:val="none"/>
              </w:rPr>
              <w:t>废水、</w:t>
            </w:r>
            <w:r>
              <w:rPr>
                <w:rFonts w:hint="default" w:ascii="Times New Roman" w:hAnsi="Times New Roman" w:eastAsia="宋体" w:cs="Times New Roman"/>
                <w:b w:val="0"/>
                <w:bCs/>
                <w:kern w:val="0"/>
                <w:sz w:val="24"/>
                <w:highlight w:val="none"/>
                <w:u w:val="none"/>
              </w:rPr>
              <w:t>煮豆</w:t>
            </w:r>
            <w:r>
              <w:rPr>
                <w:rFonts w:hint="default" w:ascii="Times New Roman" w:hAnsi="Times New Roman" w:eastAsia="宋体" w:cs="Times New Roman"/>
                <w:b w:val="0"/>
                <w:bCs/>
                <w:sz w:val="24"/>
                <w:highlight w:val="none"/>
                <w:u w:val="none"/>
              </w:rPr>
              <w:t>废</w:t>
            </w:r>
            <w:r>
              <w:rPr>
                <w:rFonts w:hint="default" w:ascii="Times New Roman" w:hAnsi="Times New Roman" w:eastAsia="宋体" w:cs="Times New Roman"/>
                <w:b w:val="0"/>
                <w:bCs/>
                <w:kern w:val="0"/>
                <w:sz w:val="24"/>
                <w:highlight w:val="none"/>
                <w:u w:val="none"/>
              </w:rPr>
              <w:t>水、设备清洗</w:t>
            </w:r>
            <w:r>
              <w:rPr>
                <w:rFonts w:hint="default" w:ascii="Times New Roman" w:hAnsi="Times New Roman" w:eastAsia="宋体" w:cs="Times New Roman"/>
                <w:b w:val="0"/>
                <w:bCs/>
                <w:sz w:val="24"/>
                <w:highlight w:val="none"/>
                <w:u w:val="none"/>
              </w:rPr>
              <w:t>废</w:t>
            </w:r>
            <w:r>
              <w:rPr>
                <w:rFonts w:hint="default" w:ascii="Times New Roman" w:hAnsi="Times New Roman" w:eastAsia="宋体" w:cs="Times New Roman"/>
                <w:b w:val="0"/>
                <w:bCs/>
                <w:kern w:val="0"/>
                <w:sz w:val="24"/>
                <w:highlight w:val="none"/>
                <w:u w:val="none"/>
              </w:rPr>
              <w:t>水、地面清洗</w:t>
            </w:r>
            <w:r>
              <w:rPr>
                <w:rFonts w:hint="default" w:ascii="Times New Roman" w:hAnsi="Times New Roman" w:eastAsia="宋体" w:cs="Times New Roman"/>
                <w:b w:val="0"/>
                <w:bCs/>
                <w:sz w:val="24"/>
                <w:highlight w:val="none"/>
                <w:u w:val="none"/>
              </w:rPr>
              <w:t>废</w:t>
            </w:r>
            <w:r>
              <w:rPr>
                <w:rFonts w:hint="default" w:ascii="Times New Roman" w:hAnsi="Times New Roman" w:eastAsia="宋体" w:cs="Times New Roman"/>
                <w:b w:val="0"/>
                <w:bCs/>
                <w:kern w:val="0"/>
                <w:sz w:val="24"/>
                <w:highlight w:val="none"/>
                <w:u w:val="none"/>
              </w:rPr>
              <w:t>水、杀菌</w:t>
            </w:r>
            <w:r>
              <w:rPr>
                <w:rFonts w:hint="default" w:ascii="Times New Roman" w:hAnsi="Times New Roman" w:eastAsia="宋体" w:cs="Times New Roman"/>
                <w:b w:val="0"/>
                <w:bCs/>
                <w:sz w:val="24"/>
                <w:highlight w:val="none"/>
                <w:u w:val="none"/>
              </w:rPr>
              <w:t>废</w:t>
            </w:r>
            <w:r>
              <w:rPr>
                <w:rFonts w:hint="default" w:ascii="Times New Roman" w:hAnsi="Times New Roman" w:eastAsia="宋体" w:cs="Times New Roman"/>
                <w:b w:val="0"/>
                <w:bCs/>
                <w:kern w:val="0"/>
                <w:sz w:val="24"/>
                <w:highlight w:val="none"/>
                <w:u w:val="none"/>
              </w:rPr>
              <w:t>水、冷却</w:t>
            </w:r>
            <w:r>
              <w:rPr>
                <w:rFonts w:hint="default" w:ascii="Times New Roman" w:hAnsi="Times New Roman" w:eastAsia="宋体" w:cs="Times New Roman"/>
                <w:b w:val="0"/>
                <w:bCs/>
                <w:sz w:val="24"/>
                <w:highlight w:val="none"/>
                <w:u w:val="none"/>
              </w:rPr>
              <w:t>废</w:t>
            </w:r>
            <w:r>
              <w:rPr>
                <w:rFonts w:hint="default" w:ascii="Times New Roman" w:hAnsi="Times New Roman" w:eastAsia="宋体" w:cs="Times New Roman"/>
                <w:b w:val="0"/>
                <w:bCs/>
                <w:kern w:val="0"/>
                <w:sz w:val="24"/>
                <w:highlight w:val="none"/>
                <w:u w:val="none"/>
              </w:rPr>
              <w:t>水、</w:t>
            </w:r>
            <w:r>
              <w:rPr>
                <w:rFonts w:hint="default" w:ascii="Times New Roman" w:hAnsi="Times New Roman" w:eastAsia="宋体" w:cs="Times New Roman"/>
                <w:b w:val="0"/>
                <w:bCs/>
                <w:color w:val="000000"/>
                <w:sz w:val="24"/>
                <w:highlight w:val="none"/>
                <w:u w:val="none"/>
              </w:rPr>
              <w:t>纯水制备</w:t>
            </w:r>
            <w:r>
              <w:rPr>
                <w:rFonts w:hint="default" w:ascii="Times New Roman" w:hAnsi="Times New Roman" w:eastAsia="宋体" w:cs="Times New Roman"/>
                <w:b w:val="0"/>
                <w:bCs/>
                <w:sz w:val="24"/>
                <w:highlight w:val="none"/>
                <w:u w:val="none"/>
              </w:rPr>
              <w:t>废</w:t>
            </w:r>
            <w:r>
              <w:rPr>
                <w:rFonts w:hint="default" w:ascii="Times New Roman" w:hAnsi="Times New Roman" w:eastAsia="宋体" w:cs="Times New Roman"/>
                <w:b w:val="0"/>
                <w:bCs/>
                <w:color w:val="000000"/>
                <w:sz w:val="24"/>
                <w:highlight w:val="none"/>
                <w:u w:val="none"/>
              </w:rPr>
              <w:t>水、蒸汽冷凝水</w:t>
            </w:r>
            <w:r>
              <w:rPr>
                <w:rFonts w:hint="default" w:ascii="Times New Roman" w:hAnsi="Times New Roman" w:eastAsia="宋体" w:cs="Times New Roman"/>
                <w:b w:val="0"/>
                <w:bCs/>
                <w:sz w:val="24"/>
                <w:highlight w:val="none"/>
                <w:u w:val="none"/>
              </w:rPr>
              <w:t>和</w:t>
            </w:r>
            <w:r>
              <w:rPr>
                <w:rFonts w:hint="default" w:ascii="Times New Roman" w:hAnsi="Times New Roman" w:eastAsia="宋体" w:cs="Times New Roman"/>
                <w:b w:val="0"/>
                <w:bCs/>
                <w:color w:val="000000"/>
                <w:sz w:val="24"/>
                <w:highlight w:val="none"/>
                <w:u w:val="none"/>
              </w:rPr>
              <w:t>生活废水</w:t>
            </w:r>
            <w:r>
              <w:rPr>
                <w:rFonts w:hint="default" w:ascii="Times New Roman" w:hAnsi="Times New Roman" w:eastAsia="宋体" w:cs="Times New Roman"/>
                <w:b w:val="0"/>
                <w:bCs/>
                <w:sz w:val="24"/>
                <w:highlight w:val="none"/>
                <w:u w:val="none"/>
              </w:rPr>
              <w:t>。</w:t>
            </w:r>
          </w:p>
          <w:p w14:paraId="6419044D">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（1）洗豆废水</w:t>
            </w:r>
          </w:p>
          <w:p w14:paraId="72898996">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本项目红小豆和绿小豆在使用前需</w:t>
            </w:r>
            <w:r>
              <w:rPr>
                <w:rFonts w:hint="default" w:ascii="Times New Roman" w:hAnsi="Times New Roman" w:eastAsia="宋体" w:cs="Times New Roman"/>
                <w:b w:val="0"/>
                <w:bCs/>
                <w:sz w:val="24"/>
                <w:highlight w:val="none"/>
                <w:u w:val="none"/>
                <w:lang w:val="en-US" w:eastAsia="zh-CN"/>
              </w:rPr>
              <w:t>用自来水</w:t>
            </w:r>
            <w:r>
              <w:rPr>
                <w:rFonts w:hint="default" w:ascii="Times New Roman" w:hAnsi="Times New Roman" w:eastAsia="宋体" w:cs="Times New Roman"/>
                <w:b w:val="0"/>
                <w:bCs/>
                <w:sz w:val="24"/>
                <w:highlight w:val="none"/>
                <w:u w:val="none"/>
              </w:rPr>
              <w:t>进行清洗，</w:t>
            </w:r>
            <w:r>
              <w:rPr>
                <w:rFonts w:hint="default" w:ascii="Times New Roman" w:hAnsi="Times New Roman" w:eastAsia="宋体" w:cs="Times New Roman"/>
                <w:b w:val="0"/>
                <w:bCs/>
                <w:sz w:val="24"/>
                <w:highlight w:val="none"/>
                <w:u w:val="none"/>
                <w:lang w:val="en-US" w:eastAsia="zh-CN"/>
              </w:rPr>
              <w:t>根据项目单位提供资料，每清洗1t豆需用自来水为0.5t，本项目需清洗豆量为600t/a，</w:t>
            </w:r>
            <w:r>
              <w:rPr>
                <w:rFonts w:hint="default" w:ascii="Times New Roman" w:hAnsi="Times New Roman" w:eastAsia="宋体" w:cs="Times New Roman"/>
                <w:b w:val="0"/>
                <w:bCs/>
                <w:sz w:val="24"/>
                <w:highlight w:val="none"/>
                <w:u w:val="none"/>
              </w:rPr>
              <w:t>则洗豆过程用水量</w:t>
            </w:r>
            <w:r>
              <w:rPr>
                <w:rFonts w:hint="default" w:ascii="Times New Roman" w:hAnsi="Times New Roman" w:eastAsia="宋体" w:cs="Times New Roman"/>
                <w:b w:val="0"/>
                <w:bCs/>
                <w:sz w:val="24"/>
                <w:highlight w:val="none"/>
                <w:u w:val="none"/>
                <w:lang w:val="en-US" w:eastAsia="zh-CN"/>
              </w:rPr>
              <w:t>30</w:t>
            </w:r>
            <w:r>
              <w:rPr>
                <w:rFonts w:hint="default" w:ascii="Times New Roman" w:hAnsi="Times New Roman" w:eastAsia="宋体" w:cs="Times New Roman"/>
                <w:b w:val="0"/>
                <w:bCs/>
                <w:sz w:val="24"/>
                <w:highlight w:val="none"/>
                <w:u w:val="none"/>
              </w:rPr>
              <w:t>0m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/a，废水产生量按照用水量的90%计，则废水产生量为270t/a（0.9t/d）。</w:t>
            </w:r>
          </w:p>
          <w:p w14:paraId="2AF6D3D4">
            <w:pPr>
              <w:keepNext w:val="0"/>
              <w:keepLines w:val="0"/>
              <w:pageBreakBefore w:val="0"/>
              <w:widowControl/>
              <w:kinsoku/>
              <w:wordWrap/>
              <w:overflowPunct/>
              <w:topLinePunct w:val="0"/>
              <w:bidi w:val="0"/>
              <w:adjustRightInd w:val="0"/>
              <w:snapToGrid w:val="0"/>
              <w:spacing w:after="0" w:line="520" w:lineRule="exact"/>
              <w:ind w:firstLine="480" w:firstLineChars="200"/>
              <w:textAlignment w:val="auto"/>
              <w:rPr>
                <w:rFonts w:hint="default" w:ascii="Times New Roman" w:hAnsi="Times New Roman" w:eastAsia="宋体" w:cs="Times New Roman"/>
                <w:b w:val="0"/>
                <w:bCs/>
                <w:kern w:val="0"/>
                <w:sz w:val="24"/>
                <w:highlight w:val="none"/>
                <w:u w:val="none"/>
              </w:rPr>
            </w:pPr>
            <w:r>
              <w:rPr>
                <w:rFonts w:hint="default" w:ascii="Times New Roman" w:hAnsi="Times New Roman" w:eastAsia="宋体" w:cs="Times New Roman"/>
                <w:b w:val="0"/>
                <w:bCs/>
                <w:kern w:val="0"/>
                <w:sz w:val="24"/>
                <w:highlight w:val="none"/>
                <w:u w:val="none"/>
              </w:rPr>
              <w:t>（2）煮豆废水</w:t>
            </w:r>
          </w:p>
          <w:p w14:paraId="51CD2B49">
            <w:pPr>
              <w:keepNext w:val="0"/>
              <w:keepLines w:val="0"/>
              <w:pageBreakBefore w:val="0"/>
              <w:widowControl/>
              <w:kinsoku/>
              <w:wordWrap/>
              <w:overflowPunct/>
              <w:topLinePunct w:val="0"/>
              <w:bidi w:val="0"/>
              <w:adjustRightInd w:val="0"/>
              <w:snapToGrid w:val="0"/>
              <w:spacing w:after="0" w:line="520" w:lineRule="exact"/>
              <w:ind w:firstLine="480" w:firstLineChars="200"/>
              <w:textAlignment w:val="auto"/>
              <w:rPr>
                <w:rFonts w:hint="default" w:ascii="Times New Roman" w:hAnsi="Times New Roman" w:eastAsia="宋体" w:cs="Times New Roman"/>
                <w:b w:val="0"/>
                <w:bCs/>
                <w:kern w:val="0"/>
                <w:sz w:val="24"/>
                <w:highlight w:val="none"/>
                <w:u w:val="none"/>
              </w:rPr>
            </w:pPr>
            <w:r>
              <w:rPr>
                <w:rFonts w:hint="default" w:ascii="Times New Roman" w:hAnsi="Times New Roman" w:eastAsia="宋体" w:cs="Times New Roman"/>
                <w:b w:val="0"/>
                <w:bCs/>
                <w:kern w:val="0"/>
                <w:sz w:val="24"/>
                <w:highlight w:val="none"/>
                <w:u w:val="none"/>
              </w:rPr>
              <w:t>煮豆时一般加入用豆量2~3倍的</w:t>
            </w:r>
            <w:r>
              <w:rPr>
                <w:rFonts w:hint="default" w:ascii="Times New Roman" w:hAnsi="Times New Roman" w:eastAsia="宋体" w:cs="Times New Roman"/>
                <w:b w:val="0"/>
                <w:bCs/>
                <w:kern w:val="0"/>
                <w:sz w:val="24"/>
                <w:highlight w:val="none"/>
                <w:u w:val="none"/>
                <w:lang w:val="en-US" w:eastAsia="zh-CN"/>
              </w:rPr>
              <w:t>纯</w:t>
            </w:r>
            <w:r>
              <w:rPr>
                <w:rFonts w:hint="default" w:ascii="Times New Roman" w:hAnsi="Times New Roman" w:eastAsia="宋体" w:cs="Times New Roman"/>
                <w:b w:val="0"/>
                <w:bCs/>
                <w:kern w:val="0"/>
                <w:sz w:val="24"/>
                <w:highlight w:val="none"/>
                <w:u w:val="none"/>
              </w:rPr>
              <w:t>水，本项目取3倍，项目红小豆和绿小豆总用量为600t/a，则用煮豆过程水量为1800m</w:t>
            </w:r>
            <w:r>
              <w:rPr>
                <w:rFonts w:hint="default" w:ascii="Times New Roman" w:hAnsi="Times New Roman" w:eastAsia="宋体" w:cs="Times New Roman"/>
                <w:b w:val="0"/>
                <w:bCs/>
                <w:kern w:val="0"/>
                <w:sz w:val="24"/>
                <w:highlight w:val="none"/>
                <w:u w:val="none"/>
                <w:vertAlign w:val="superscript"/>
              </w:rPr>
              <w:t>3</w:t>
            </w:r>
            <w:r>
              <w:rPr>
                <w:rFonts w:hint="default" w:ascii="Times New Roman" w:hAnsi="Times New Roman" w:eastAsia="宋体" w:cs="Times New Roman"/>
                <w:b w:val="0"/>
                <w:bCs/>
                <w:kern w:val="0"/>
                <w:sz w:val="24"/>
                <w:highlight w:val="none"/>
                <w:u w:val="none"/>
              </w:rPr>
              <w:t>/a（6m</w:t>
            </w:r>
            <w:r>
              <w:rPr>
                <w:rFonts w:hint="default" w:ascii="Times New Roman" w:hAnsi="Times New Roman" w:eastAsia="宋体" w:cs="Times New Roman"/>
                <w:b w:val="0"/>
                <w:bCs/>
                <w:kern w:val="0"/>
                <w:sz w:val="24"/>
                <w:highlight w:val="none"/>
                <w:u w:val="none"/>
                <w:vertAlign w:val="superscript"/>
              </w:rPr>
              <w:t>3</w:t>
            </w:r>
            <w:r>
              <w:rPr>
                <w:rFonts w:hint="default" w:ascii="Times New Roman" w:hAnsi="Times New Roman" w:eastAsia="宋体" w:cs="Times New Roman"/>
                <w:b w:val="0"/>
                <w:bCs/>
                <w:kern w:val="0"/>
                <w:sz w:val="24"/>
                <w:highlight w:val="none"/>
                <w:u w:val="none"/>
              </w:rPr>
              <w:t>/d）。</w:t>
            </w:r>
          </w:p>
          <w:p w14:paraId="5457D6C0">
            <w:pPr>
              <w:keepNext w:val="0"/>
              <w:keepLines w:val="0"/>
              <w:pageBreakBefore w:val="0"/>
              <w:widowControl/>
              <w:kinsoku/>
              <w:wordWrap/>
              <w:overflowPunct/>
              <w:topLinePunct w:val="0"/>
              <w:bidi w:val="0"/>
              <w:adjustRightInd w:val="0"/>
              <w:snapToGrid w:val="0"/>
              <w:spacing w:after="0" w:line="520" w:lineRule="exact"/>
              <w:ind w:firstLine="480" w:firstLineChars="200"/>
              <w:textAlignment w:val="auto"/>
              <w:rPr>
                <w:rFonts w:hint="default" w:ascii="Times New Roman" w:hAnsi="Times New Roman" w:eastAsia="宋体" w:cs="Times New Roman"/>
                <w:b w:val="0"/>
                <w:bCs/>
                <w:kern w:val="0"/>
                <w:sz w:val="24"/>
                <w:highlight w:val="none"/>
                <w:u w:val="none"/>
              </w:rPr>
            </w:pPr>
            <w:r>
              <w:rPr>
                <w:rFonts w:hint="default" w:ascii="Times New Roman" w:hAnsi="Times New Roman" w:eastAsia="宋体" w:cs="Times New Roman"/>
                <w:b w:val="0"/>
                <w:bCs/>
                <w:kern w:val="0"/>
                <w:sz w:val="24"/>
                <w:highlight w:val="none"/>
                <w:u w:val="none"/>
              </w:rPr>
              <w:t xml:space="preserve">根据企业提供资料，生产过程中约有15%的水分在蒸煮过程中蒸发，10%在炒制浓缩过程中蒸发，10%进入产品，剩余65%作为废水外排，即废水产生量为1170t/a（3.9t/d）。 </w:t>
            </w:r>
          </w:p>
          <w:p w14:paraId="01F7ED73">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（3）设备清洗废水</w:t>
            </w:r>
          </w:p>
          <w:p w14:paraId="3334B8D2">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lang w:eastAsia="zh-CN"/>
              </w:rPr>
            </w:pPr>
            <w:r>
              <w:rPr>
                <w:rFonts w:hint="default" w:ascii="Times New Roman" w:hAnsi="Times New Roman" w:eastAsia="宋体" w:cs="Times New Roman"/>
                <w:b w:val="0"/>
                <w:bCs/>
                <w:sz w:val="24"/>
                <w:highlight w:val="none"/>
                <w:u w:val="none"/>
              </w:rPr>
              <w:t>本项目生产设备每天</w:t>
            </w:r>
            <w:r>
              <w:rPr>
                <w:rFonts w:hint="default" w:ascii="Times New Roman" w:hAnsi="Times New Roman" w:eastAsia="宋体" w:cs="Times New Roman"/>
                <w:b w:val="0"/>
                <w:bCs/>
                <w:sz w:val="24"/>
                <w:highlight w:val="none"/>
                <w:u w:val="none"/>
                <w:lang w:val="en-US" w:eastAsia="zh-CN"/>
              </w:rPr>
              <w:t>需用自来水</w:t>
            </w:r>
            <w:r>
              <w:rPr>
                <w:rFonts w:hint="default" w:ascii="Times New Roman" w:hAnsi="Times New Roman" w:eastAsia="宋体" w:cs="Times New Roman"/>
                <w:b w:val="0"/>
                <w:bCs/>
                <w:sz w:val="24"/>
                <w:highlight w:val="none"/>
                <w:u w:val="none"/>
              </w:rPr>
              <w:t>擦洗1次，每次用水量为1.5m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（450m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/a），废水排放量为用水量的90%，则设备清洗废水产生量为405t/a（1.35t/d）</w:t>
            </w:r>
            <w:r>
              <w:rPr>
                <w:rFonts w:hint="default" w:ascii="Times New Roman" w:hAnsi="Times New Roman" w:eastAsia="宋体" w:cs="Times New Roman"/>
                <w:b w:val="0"/>
                <w:bCs/>
                <w:sz w:val="24"/>
                <w:highlight w:val="none"/>
                <w:u w:val="none"/>
                <w:lang w:eastAsia="zh-CN"/>
              </w:rPr>
              <w:t>。</w:t>
            </w:r>
          </w:p>
          <w:p w14:paraId="3B802DDF">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（4）地面清洗废水</w:t>
            </w:r>
          </w:p>
          <w:p w14:paraId="4973AB1F">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本项目生产区域地面需每天</w:t>
            </w:r>
            <w:r>
              <w:rPr>
                <w:rFonts w:hint="default" w:ascii="Times New Roman" w:hAnsi="Times New Roman" w:eastAsia="宋体" w:cs="Times New Roman"/>
                <w:b w:val="0"/>
                <w:bCs/>
                <w:sz w:val="24"/>
                <w:highlight w:val="none"/>
                <w:u w:val="none"/>
                <w:lang w:val="en-US" w:eastAsia="zh-CN"/>
              </w:rPr>
              <w:t>用自来水</w:t>
            </w:r>
            <w:r>
              <w:rPr>
                <w:rFonts w:hint="default" w:ascii="Times New Roman" w:hAnsi="Times New Roman" w:eastAsia="宋体" w:cs="Times New Roman"/>
                <w:b w:val="0"/>
                <w:bCs/>
                <w:sz w:val="24"/>
                <w:highlight w:val="none"/>
                <w:u w:val="none"/>
              </w:rPr>
              <w:t>进行清洗，根据企业提供资料，清洗水用量为5m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/d（1500m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/a），废水排放量为用水量的80%，则地面清洗废水产生量为1200t/a（4.5t/d）。</w:t>
            </w:r>
          </w:p>
          <w:p w14:paraId="21780460">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（5）杀菌废水</w:t>
            </w:r>
          </w:p>
          <w:p w14:paraId="180A3116">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本项目设有2个8m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的杀菌池，每个池子一次加</w:t>
            </w:r>
            <w:r>
              <w:rPr>
                <w:rFonts w:hint="default" w:ascii="Times New Roman" w:hAnsi="Times New Roman" w:eastAsia="宋体" w:cs="Times New Roman"/>
                <w:b w:val="0"/>
                <w:bCs/>
                <w:sz w:val="24"/>
                <w:highlight w:val="none"/>
                <w:u w:val="none"/>
                <w:lang w:val="en-US" w:eastAsia="zh-CN"/>
              </w:rPr>
              <w:t>自来</w:t>
            </w:r>
            <w:r>
              <w:rPr>
                <w:rFonts w:hint="default" w:ascii="Times New Roman" w:hAnsi="Times New Roman" w:eastAsia="宋体" w:cs="Times New Roman"/>
                <w:b w:val="0"/>
                <w:bCs/>
                <w:sz w:val="24"/>
                <w:highlight w:val="none"/>
                <w:u w:val="none"/>
              </w:rPr>
              <w:t>水量为容积的80%，合计一次加水量为12.8m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。根据企业提供资料，10%为蒸发损耗量，一次更换量为加水量的90%，每10天更换一次，则杀菌废水排放量为1.152t/d（345.6t/a），每天需定期补充损耗1.28m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/d（384m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/a），合计杀菌用水量为729.6t/a（2.432t/d）。</w:t>
            </w:r>
          </w:p>
          <w:p w14:paraId="0360C684">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（6）冷却废水</w:t>
            </w:r>
          </w:p>
          <w:p w14:paraId="36B8B1A5">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本项目设有2个16m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的冷却池，每个池子一次加</w:t>
            </w:r>
            <w:r>
              <w:rPr>
                <w:rFonts w:hint="default" w:ascii="Times New Roman" w:hAnsi="Times New Roman" w:eastAsia="宋体" w:cs="Times New Roman"/>
                <w:b w:val="0"/>
                <w:bCs/>
                <w:sz w:val="24"/>
                <w:highlight w:val="none"/>
                <w:u w:val="none"/>
                <w:lang w:val="en-US" w:eastAsia="zh-CN"/>
              </w:rPr>
              <w:t>自来</w:t>
            </w:r>
            <w:r>
              <w:rPr>
                <w:rFonts w:hint="default" w:ascii="Times New Roman" w:hAnsi="Times New Roman" w:eastAsia="宋体" w:cs="Times New Roman"/>
                <w:b w:val="0"/>
                <w:bCs/>
                <w:sz w:val="24"/>
                <w:highlight w:val="none"/>
                <w:u w:val="none"/>
              </w:rPr>
              <w:t>水量为容积的80%，合计一次加水量为25.6m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。根据企业提供资料，2%为损耗量，每30天更换一次，则冷却废水排放量为256t/a（0.853t/d），每天需定期补充损耗（0.512m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/d），合计冷却用水量为409.6m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/a（1.365m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/d）。</w:t>
            </w:r>
          </w:p>
          <w:p w14:paraId="05EB15E7">
            <w:pPr>
              <w:keepNext w:val="0"/>
              <w:keepLines w:val="0"/>
              <w:pageBreakBefore w:val="0"/>
              <w:widowControl/>
              <w:kinsoku/>
              <w:wordWrap/>
              <w:overflowPunct/>
              <w:topLinePunct w:val="0"/>
              <w:bidi w:val="0"/>
              <w:adjustRightInd w:val="0"/>
              <w:snapToGrid w:val="0"/>
              <w:spacing w:after="0" w:line="520" w:lineRule="exact"/>
              <w:ind w:firstLine="472" w:firstLineChars="197"/>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sz w:val="24"/>
                <w:highlight w:val="none"/>
                <w:u w:val="none"/>
              </w:rPr>
              <w:t>（7）纯水制备废水</w:t>
            </w:r>
          </w:p>
          <w:p w14:paraId="4ABC25C1">
            <w:pPr>
              <w:keepNext w:val="0"/>
              <w:keepLines w:val="0"/>
              <w:pageBreakBefore w:val="0"/>
              <w:widowControl/>
              <w:kinsoku/>
              <w:wordWrap/>
              <w:overflowPunct/>
              <w:topLinePunct w:val="0"/>
              <w:autoSpaceDE w:val="0"/>
              <w:autoSpaceDN w:val="0"/>
              <w:bidi w:val="0"/>
              <w:adjustRightInd w:val="0"/>
              <w:snapToGrid w:val="0"/>
              <w:spacing w:after="0" w:line="520" w:lineRule="exact"/>
              <w:ind w:firstLine="480" w:firstLineChars="200"/>
              <w:textAlignment w:val="auto"/>
              <w:rPr>
                <w:rFonts w:hint="default" w:ascii="Times New Roman" w:hAnsi="Times New Roman" w:eastAsia="宋体" w:cs="Times New Roman"/>
                <w:b w:val="0"/>
                <w:bCs/>
                <w:spacing w:val="7"/>
                <w:kern w:val="0"/>
                <w:sz w:val="24"/>
                <w:highlight w:val="none"/>
                <w:u w:val="none"/>
              </w:rPr>
            </w:pPr>
            <w:r>
              <w:rPr>
                <w:rFonts w:hint="default" w:ascii="Times New Roman" w:hAnsi="Times New Roman" w:eastAsia="宋体" w:cs="Times New Roman"/>
                <w:b w:val="0"/>
                <w:bCs/>
                <w:sz w:val="24"/>
                <w:highlight w:val="none"/>
                <w:u w:val="none"/>
                <w:lang w:val="en-US" w:eastAsia="zh-CN"/>
              </w:rPr>
              <w:t>经与项目单位核实，</w:t>
            </w:r>
            <w:r>
              <w:rPr>
                <w:rFonts w:hint="default" w:ascii="Times New Roman" w:hAnsi="Times New Roman" w:eastAsia="宋体" w:cs="Times New Roman"/>
                <w:b w:val="0"/>
                <w:bCs/>
                <w:sz w:val="24"/>
                <w:highlight w:val="none"/>
                <w:u w:val="none"/>
              </w:rPr>
              <w:t>本项目煮豆</w:t>
            </w:r>
            <w:r>
              <w:rPr>
                <w:rFonts w:hint="default" w:ascii="Times New Roman" w:hAnsi="Times New Roman" w:eastAsia="宋体" w:cs="Times New Roman"/>
                <w:b w:val="0"/>
                <w:bCs/>
                <w:sz w:val="24"/>
                <w:highlight w:val="none"/>
                <w:u w:val="none"/>
                <w:lang w:val="en-US" w:eastAsia="zh-CN"/>
              </w:rPr>
              <w:t>和</w:t>
            </w:r>
            <w:r>
              <w:rPr>
                <w:rFonts w:hint="default" w:ascii="Times New Roman" w:hAnsi="Times New Roman" w:eastAsia="宋体" w:cs="Times New Roman"/>
                <w:b w:val="0"/>
                <w:bCs/>
                <w:sz w:val="24"/>
                <w:highlight w:val="none"/>
                <w:u w:val="none"/>
              </w:rPr>
              <w:t>化糖过程均使用纯水，合计纯水用量为</w:t>
            </w:r>
            <w:r>
              <w:rPr>
                <w:rFonts w:hint="default" w:ascii="Times New Roman" w:hAnsi="Times New Roman" w:eastAsia="宋体" w:cs="Times New Roman"/>
                <w:b w:val="0"/>
                <w:bCs/>
                <w:sz w:val="24"/>
                <w:highlight w:val="none"/>
                <w:u w:val="none"/>
                <w:lang w:val="en-US" w:eastAsia="zh-CN"/>
              </w:rPr>
              <w:t>1890</w:t>
            </w:r>
            <w:r>
              <w:rPr>
                <w:rFonts w:hint="default" w:ascii="Times New Roman" w:hAnsi="Times New Roman" w:eastAsia="宋体" w:cs="Times New Roman"/>
                <w:b w:val="0"/>
                <w:bCs/>
                <w:sz w:val="24"/>
                <w:highlight w:val="none"/>
                <w:u w:val="none"/>
              </w:rPr>
              <w:t>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w:t>
            </w:r>
            <w:r>
              <w:rPr>
                <w:rFonts w:hint="default" w:ascii="Times New Roman" w:hAnsi="Times New Roman" w:eastAsia="宋体" w:cs="Times New Roman"/>
                <w:b w:val="0"/>
                <w:bCs/>
                <w:sz w:val="24"/>
                <w:highlight w:val="none"/>
                <w:u w:val="none"/>
                <w:lang w:val="en-US" w:eastAsia="zh-CN"/>
              </w:rPr>
              <w:t>6.3</w:t>
            </w:r>
            <w:r>
              <w:rPr>
                <w:rFonts w:hint="default" w:ascii="Times New Roman" w:hAnsi="Times New Roman" w:eastAsia="宋体" w:cs="Times New Roman"/>
                <w:b w:val="0"/>
                <w:bCs/>
                <w:sz w:val="24"/>
                <w:highlight w:val="none"/>
                <w:u w:val="none"/>
              </w:rPr>
              <w:t>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/d），采用纯水机组进行制备，纯水</w:t>
            </w:r>
            <w:r>
              <w:rPr>
                <w:rFonts w:hint="default" w:ascii="Times New Roman" w:hAnsi="Times New Roman" w:eastAsia="宋体" w:cs="Times New Roman"/>
                <w:b w:val="0"/>
                <w:bCs/>
                <w:kern w:val="24"/>
                <w:sz w:val="24"/>
                <w:highlight w:val="none"/>
                <w:u w:val="none"/>
              </w:rPr>
              <w:t>制备工艺为离子交换，制水率为8</w:t>
            </w:r>
            <w:r>
              <w:rPr>
                <w:rFonts w:hint="default" w:ascii="Times New Roman" w:hAnsi="Times New Roman" w:eastAsia="宋体" w:cs="Times New Roman"/>
                <w:b w:val="0"/>
                <w:bCs/>
                <w:kern w:val="24"/>
                <w:sz w:val="24"/>
                <w:highlight w:val="none"/>
                <w:u w:val="none"/>
                <w:lang w:val="en-US" w:eastAsia="zh-CN"/>
              </w:rPr>
              <w:t>0</w:t>
            </w:r>
            <w:r>
              <w:rPr>
                <w:rFonts w:hint="default" w:ascii="Times New Roman" w:hAnsi="Times New Roman" w:eastAsia="宋体" w:cs="Times New Roman"/>
                <w:b w:val="0"/>
                <w:bCs/>
                <w:kern w:val="24"/>
                <w:sz w:val="24"/>
                <w:highlight w:val="none"/>
                <w:u w:val="none"/>
              </w:rPr>
              <w:t>%，则新鲜水用量为</w:t>
            </w:r>
            <w:r>
              <w:rPr>
                <w:rFonts w:hint="default" w:ascii="Times New Roman" w:hAnsi="Times New Roman" w:eastAsia="宋体" w:cs="Times New Roman"/>
                <w:b w:val="0"/>
                <w:bCs/>
                <w:kern w:val="24"/>
                <w:sz w:val="24"/>
                <w:highlight w:val="none"/>
                <w:u w:val="none"/>
                <w:lang w:val="en-US" w:eastAsia="zh-CN"/>
              </w:rPr>
              <w:t>2362.5</w:t>
            </w:r>
            <w:r>
              <w:rPr>
                <w:rFonts w:hint="default" w:ascii="Times New Roman" w:hAnsi="Times New Roman" w:eastAsia="宋体" w:cs="Times New Roman"/>
                <w:b w:val="0"/>
                <w:bCs/>
                <w:sz w:val="24"/>
                <w:highlight w:val="none"/>
                <w:u w:val="none"/>
              </w:rPr>
              <w:t>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w:t>
            </w:r>
            <w:r>
              <w:rPr>
                <w:rFonts w:hint="default" w:ascii="Times New Roman" w:hAnsi="Times New Roman" w:eastAsia="宋体" w:cs="Times New Roman"/>
                <w:b w:val="0"/>
                <w:bCs/>
                <w:sz w:val="24"/>
                <w:highlight w:val="none"/>
                <w:u w:val="none"/>
                <w:lang w:val="en-US" w:eastAsia="zh-CN"/>
              </w:rPr>
              <w:t>7.875</w:t>
            </w:r>
            <w:r>
              <w:rPr>
                <w:rFonts w:hint="default" w:ascii="Times New Roman" w:hAnsi="Times New Roman" w:eastAsia="宋体" w:cs="Times New Roman"/>
                <w:b w:val="0"/>
                <w:bCs/>
                <w:sz w:val="24"/>
                <w:highlight w:val="none"/>
                <w:u w:val="none"/>
              </w:rPr>
              <w:t>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/d）</w:t>
            </w:r>
            <w:r>
              <w:rPr>
                <w:rFonts w:hint="default" w:ascii="Times New Roman" w:hAnsi="Times New Roman" w:eastAsia="宋体" w:cs="Times New Roman"/>
                <w:b w:val="0"/>
                <w:bCs/>
                <w:kern w:val="24"/>
                <w:sz w:val="24"/>
                <w:highlight w:val="none"/>
                <w:u w:val="none"/>
              </w:rPr>
              <w:t>，浓水产生量为</w:t>
            </w:r>
            <w:r>
              <w:rPr>
                <w:rFonts w:hint="default" w:ascii="Times New Roman" w:hAnsi="Times New Roman" w:eastAsia="宋体" w:cs="Times New Roman"/>
                <w:b w:val="0"/>
                <w:bCs/>
                <w:kern w:val="24"/>
                <w:sz w:val="24"/>
                <w:highlight w:val="none"/>
                <w:u w:val="none"/>
                <w:lang w:val="en-US" w:eastAsia="zh-CN"/>
              </w:rPr>
              <w:t>472.5</w:t>
            </w:r>
            <w:r>
              <w:rPr>
                <w:rFonts w:hint="default" w:ascii="Times New Roman" w:hAnsi="Times New Roman" w:eastAsia="宋体" w:cs="Times New Roman"/>
                <w:b w:val="0"/>
                <w:bCs/>
                <w:sz w:val="24"/>
                <w:highlight w:val="none"/>
                <w:u w:val="none"/>
              </w:rPr>
              <w:t>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/a（</w:t>
            </w:r>
            <w:r>
              <w:rPr>
                <w:rFonts w:hint="default" w:ascii="Times New Roman" w:hAnsi="Times New Roman" w:eastAsia="宋体" w:cs="Times New Roman"/>
                <w:b w:val="0"/>
                <w:bCs/>
                <w:sz w:val="24"/>
                <w:highlight w:val="none"/>
                <w:u w:val="none"/>
                <w:lang w:val="en-US" w:eastAsia="zh-CN"/>
              </w:rPr>
              <w:t>1.575</w:t>
            </w:r>
            <w:r>
              <w:rPr>
                <w:rFonts w:hint="default" w:ascii="Times New Roman" w:hAnsi="Times New Roman" w:eastAsia="宋体" w:cs="Times New Roman"/>
                <w:b w:val="0"/>
                <w:bCs/>
                <w:sz w:val="24"/>
                <w:highlight w:val="none"/>
                <w:u w:val="none"/>
              </w:rPr>
              <w:t>m</w:t>
            </w:r>
            <w:r>
              <w:rPr>
                <w:rFonts w:hint="default" w:ascii="Times New Roman" w:hAnsi="Times New Roman" w:eastAsia="宋体" w:cs="Times New Roman"/>
                <w:b w:val="0"/>
                <w:bCs/>
                <w:sz w:val="24"/>
                <w:highlight w:val="none"/>
                <w:u w:val="none"/>
                <w:vertAlign w:val="superscript"/>
              </w:rPr>
              <w:t>3</w:t>
            </w:r>
            <w:r>
              <w:rPr>
                <w:rFonts w:hint="default" w:ascii="Times New Roman" w:hAnsi="Times New Roman" w:eastAsia="宋体" w:cs="Times New Roman"/>
                <w:b w:val="0"/>
                <w:bCs/>
                <w:sz w:val="24"/>
                <w:highlight w:val="none"/>
                <w:u w:val="none"/>
              </w:rPr>
              <w:t>/d）</w:t>
            </w:r>
            <w:r>
              <w:rPr>
                <w:rFonts w:hint="default" w:ascii="Times New Roman" w:hAnsi="Times New Roman" w:eastAsia="宋体" w:cs="Times New Roman"/>
                <w:b w:val="0"/>
                <w:bCs/>
                <w:kern w:val="24"/>
                <w:sz w:val="24"/>
                <w:highlight w:val="none"/>
                <w:u w:val="none"/>
              </w:rPr>
              <w:t>。</w:t>
            </w:r>
          </w:p>
          <w:p w14:paraId="6CD2E8E6">
            <w:pPr>
              <w:keepNext w:val="0"/>
              <w:keepLines w:val="0"/>
              <w:pageBreakBefore w:val="0"/>
              <w:widowControl/>
              <w:kinsoku/>
              <w:wordWrap/>
              <w:overflowPunct/>
              <w:topLinePunct w:val="0"/>
              <w:bidi w:val="0"/>
              <w:adjustRightInd w:val="0"/>
              <w:snapToGrid w:val="0"/>
              <w:spacing w:after="0" w:line="520" w:lineRule="exact"/>
              <w:ind w:firstLine="482"/>
              <w:textAlignment w:val="auto"/>
              <w:rPr>
                <w:rFonts w:hint="default" w:ascii="Times New Roman" w:hAnsi="Times New Roman" w:eastAsia="宋体" w:cs="Times New Roman"/>
                <w:b w:val="0"/>
                <w:bCs/>
                <w:kern w:val="0"/>
                <w:sz w:val="24"/>
                <w:highlight w:val="none"/>
                <w:u w:val="none"/>
              </w:rPr>
            </w:pPr>
            <w:r>
              <w:rPr>
                <w:rFonts w:hint="default" w:ascii="Times New Roman" w:hAnsi="Times New Roman" w:eastAsia="宋体" w:cs="Times New Roman"/>
                <w:b w:val="0"/>
                <w:bCs/>
                <w:kern w:val="0"/>
                <w:sz w:val="24"/>
                <w:highlight w:val="none"/>
                <w:u w:val="none"/>
              </w:rPr>
              <w:t>（8）蒸汽冷凝水</w:t>
            </w:r>
          </w:p>
          <w:p w14:paraId="2B06831A">
            <w:pPr>
              <w:keepNext w:val="0"/>
              <w:keepLines w:val="0"/>
              <w:pageBreakBefore w:val="0"/>
              <w:widowControl/>
              <w:kinsoku/>
              <w:wordWrap/>
              <w:overflowPunct/>
              <w:topLinePunct w:val="0"/>
              <w:autoSpaceDE w:val="0"/>
              <w:autoSpaceDN w:val="0"/>
              <w:bidi w:val="0"/>
              <w:adjustRightInd w:val="0"/>
              <w:snapToGrid w:val="0"/>
              <w:spacing w:after="0" w:line="520" w:lineRule="exact"/>
              <w:ind w:firstLine="480" w:firstLineChars="200"/>
              <w:textAlignment w:val="auto"/>
              <w:rPr>
                <w:rFonts w:hint="default" w:ascii="Times New Roman" w:hAnsi="Times New Roman" w:eastAsia="宋体" w:cs="Times New Roman"/>
                <w:b w:val="0"/>
                <w:bCs/>
                <w:sz w:val="24"/>
                <w:highlight w:val="none"/>
                <w:u w:val="none"/>
              </w:rPr>
            </w:pPr>
            <w:r>
              <w:rPr>
                <w:rFonts w:hint="default" w:ascii="Times New Roman" w:hAnsi="Times New Roman" w:eastAsia="宋体" w:cs="Times New Roman"/>
                <w:b w:val="0"/>
                <w:bCs/>
                <w:kern w:val="0"/>
                <w:sz w:val="24"/>
                <w:highlight w:val="none"/>
                <w:u w:val="none"/>
              </w:rPr>
              <w:t>本项目煮豆、浓缩炒制</w:t>
            </w:r>
            <w:r>
              <w:rPr>
                <w:rFonts w:hint="default" w:ascii="Times New Roman" w:hAnsi="Times New Roman" w:eastAsia="宋体" w:cs="Times New Roman"/>
                <w:b w:val="0"/>
                <w:bCs/>
                <w:sz w:val="24"/>
                <w:highlight w:val="none"/>
                <w:u w:val="none"/>
              </w:rPr>
              <w:t>、蒸煮及杀菌工序所用蒸汽利用常村镇新中益电厂供给，煮豆、浓缩炒制、蒸煮、杀菌均设有夹层，通入夹层内通入蒸汽间接加温，根据建设单位市场调研及日常运行经验，生产过程中蒸汽用量为1500t/a（5t/d），经热交换后冷凝下来，全部转化为冷凝水，与其他废水一起进入厂内废水调节池。</w:t>
            </w:r>
          </w:p>
          <w:p w14:paraId="07ED51AF">
            <w:pPr>
              <w:keepNext w:val="0"/>
              <w:keepLines w:val="0"/>
              <w:pageBreakBefore w:val="0"/>
              <w:widowControl/>
              <w:kinsoku/>
              <w:wordWrap/>
              <w:overflowPunct/>
              <w:topLinePunct w:val="0"/>
              <w:bidi w:val="0"/>
              <w:adjustRightInd w:val="0"/>
              <w:snapToGrid w:val="0"/>
              <w:spacing w:after="0" w:line="520" w:lineRule="exact"/>
              <w:ind w:firstLine="480" w:firstLineChars="200"/>
              <w:textAlignment w:val="auto"/>
              <w:rPr>
                <w:rFonts w:hint="eastAsia" w:ascii="Times New Roman" w:hAnsi="Times New Roman" w:eastAsia="宋体" w:cs="Times New Roman"/>
                <w:sz w:val="24"/>
                <w:highlight w:val="none"/>
                <w:lang w:eastAsia="zh-CN"/>
              </w:rPr>
            </w:pPr>
            <w:r>
              <w:rPr>
                <w:rFonts w:hint="default" w:ascii="Times New Roman" w:hAnsi="Times New Roman" w:eastAsia="宋体" w:cs="Times New Roman"/>
                <w:sz w:val="24"/>
                <w:highlight w:val="none"/>
              </w:rPr>
              <w:t>（9）生活</w:t>
            </w:r>
            <w:r>
              <w:rPr>
                <w:rFonts w:hint="eastAsia" w:ascii="Times New Roman" w:hAnsi="Times New Roman" w:eastAsia="宋体" w:cs="Times New Roman"/>
                <w:sz w:val="24"/>
                <w:highlight w:val="none"/>
                <w:lang w:val="en-US" w:eastAsia="zh-CN"/>
              </w:rPr>
              <w:t>废水</w:t>
            </w:r>
          </w:p>
          <w:p w14:paraId="0BC2B83D">
            <w:pPr>
              <w:keepNext w:val="0"/>
              <w:keepLines w:val="0"/>
              <w:pageBreakBefore w:val="0"/>
              <w:widowControl/>
              <w:kinsoku/>
              <w:wordWrap/>
              <w:overflowPunct/>
              <w:topLinePunct w:val="0"/>
              <w:bidi w:val="0"/>
              <w:adjustRightInd w:val="0"/>
              <w:snapToGrid w:val="0"/>
              <w:spacing w:after="0" w:line="520" w:lineRule="exact"/>
              <w:ind w:firstLine="440" w:firstLineChars="200"/>
              <w:textAlignment w:val="auto"/>
              <w:rPr>
                <w:rFonts w:hint="default" w:ascii="Times New Roman" w:hAnsi="Times New Roman" w:eastAsia="宋体" w:cs="Times New Roman"/>
                <w:sz w:val="24"/>
                <w:highlight w:val="none"/>
              </w:rPr>
            </w:pPr>
            <w:r>
              <w:rPr>
                <w:highlight w:val="none"/>
              </w:rPr>
              <w:drawing>
                <wp:anchor distT="0" distB="0" distL="114300" distR="114300" simplePos="0" relativeHeight="251663360" behindDoc="0" locked="0" layoutInCell="1" allowOverlap="1">
                  <wp:simplePos x="0" y="0"/>
                  <wp:positionH relativeFrom="column">
                    <wp:posOffset>170180</wp:posOffset>
                  </wp:positionH>
                  <wp:positionV relativeFrom="paragraph">
                    <wp:posOffset>982345</wp:posOffset>
                  </wp:positionV>
                  <wp:extent cx="5114925" cy="3967480"/>
                  <wp:effectExtent l="0" t="0" r="9525" b="13970"/>
                  <wp:wrapNone/>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1"/>
                          <a:stretch>
                            <a:fillRect/>
                          </a:stretch>
                        </pic:blipFill>
                        <pic:spPr>
                          <a:xfrm>
                            <a:off x="0" y="0"/>
                            <a:ext cx="5114925" cy="3967480"/>
                          </a:xfrm>
                          <a:prstGeom prst="rect">
                            <a:avLst/>
                          </a:prstGeom>
                          <a:noFill/>
                          <a:ln>
                            <a:noFill/>
                          </a:ln>
                        </pic:spPr>
                      </pic:pic>
                    </a:graphicData>
                  </a:graphic>
                </wp:anchor>
              </w:drawing>
            </w:r>
            <w:r>
              <w:rPr>
                <w:rFonts w:hint="default" w:ascii="Times New Roman" w:hAnsi="Times New Roman" w:eastAsia="宋体" w:cs="Times New Roman"/>
                <w:sz w:val="24"/>
                <w:highlight w:val="none"/>
              </w:rPr>
              <w:t>本项目职工12人，均不在厂区食宿</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sz w:val="24"/>
                <w:highlight w:val="none"/>
              </w:rPr>
              <w:t>根据《河南省地方标准用水定额》（DB41/T385-2020）办公用水为</w:t>
            </w:r>
            <w:r>
              <w:rPr>
                <w:rFonts w:hint="default" w:ascii="Times New Roman" w:hAnsi="Times New Roman" w:eastAsia="宋体" w:cs="Times New Roman"/>
                <w:spacing w:val="4"/>
                <w:sz w:val="24"/>
                <w:highlight w:val="none"/>
              </w:rPr>
              <w:t>40L/人·d</w:t>
            </w:r>
            <w:r>
              <w:rPr>
                <w:rFonts w:hint="default" w:ascii="Times New Roman" w:hAnsi="Times New Roman" w:eastAsia="宋体" w:cs="Times New Roman"/>
                <w:color w:val="000000"/>
                <w:sz w:val="24"/>
                <w:highlight w:val="none"/>
              </w:rPr>
              <w:t>，则营运期职工生活用水量为144m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/a（0.48m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/d）。</w:t>
            </w:r>
          </w:p>
          <w:p w14:paraId="61C3DC8A">
            <w:pPr>
              <w:pStyle w:val="5"/>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p>
          <w:p w14:paraId="60FDD3E9">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1F89145E">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4357B82A">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5F552E96">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01919DDF">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796BCC37">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3C539DC2">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2D55915F">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29AA786E">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62710041">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4A45B3B0">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4C2C1F17">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16DB3BFF">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1C02D124">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70D74672">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04426634">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0ABC462C">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78B52E6B">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6A1733FC">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1BC9F1A3">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0F46AC2A">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7235DAEC">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p>
          <w:p w14:paraId="26D8DAE3">
            <w:pPr>
              <w:pStyle w:val="5"/>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图</w:t>
            </w:r>
            <w:r>
              <w:rPr>
                <w:rFonts w:hint="eastAsia" w:cs="Times New Roman"/>
                <w:b/>
                <w:bCs/>
                <w:color w:val="000000"/>
                <w:kern w:val="24"/>
                <w:sz w:val="24"/>
                <w:szCs w:val="24"/>
                <w:highlight w:val="none"/>
                <w:lang w:val="en-US" w:eastAsia="zh-CN" w:bidi="ar-SA"/>
              </w:rPr>
              <w:t>2-</w:t>
            </w:r>
            <w:r>
              <w:rPr>
                <w:rFonts w:hint="default" w:ascii="Times New Roman" w:hAnsi="Times New Roman" w:eastAsia="宋体" w:cs="Times New Roman"/>
                <w:b/>
                <w:bCs/>
                <w:color w:val="000000"/>
                <w:kern w:val="24"/>
                <w:sz w:val="24"/>
                <w:szCs w:val="24"/>
                <w:highlight w:val="none"/>
                <w:lang w:val="en-US" w:eastAsia="zh-CN" w:bidi="ar-SA"/>
              </w:rPr>
              <w:t>1 水平衡图（m</w:t>
            </w:r>
            <w:r>
              <w:rPr>
                <w:rFonts w:hint="default" w:ascii="Times New Roman" w:hAnsi="Times New Roman" w:eastAsia="宋体" w:cs="Times New Roman"/>
                <w:b/>
                <w:bCs/>
                <w:color w:val="000000"/>
                <w:kern w:val="24"/>
                <w:sz w:val="24"/>
                <w:szCs w:val="24"/>
                <w:highlight w:val="none"/>
                <w:vertAlign w:val="superscript"/>
                <w:lang w:val="en-US" w:eastAsia="zh-CN" w:bidi="ar-SA"/>
              </w:rPr>
              <w:t>3</w:t>
            </w:r>
            <w:r>
              <w:rPr>
                <w:rFonts w:hint="default" w:ascii="Times New Roman" w:hAnsi="Times New Roman" w:eastAsia="宋体" w:cs="Times New Roman"/>
                <w:b/>
                <w:bCs/>
                <w:color w:val="000000"/>
                <w:kern w:val="24"/>
                <w:sz w:val="24"/>
                <w:szCs w:val="24"/>
                <w:highlight w:val="none"/>
                <w:lang w:val="en-US" w:eastAsia="zh-CN" w:bidi="ar-SA"/>
              </w:rPr>
              <w:t>/d</w:t>
            </w:r>
            <w:r>
              <w:rPr>
                <w:rFonts w:hint="default" w:ascii="Times New Roman" w:hAnsi="Times New Roman" w:eastAsia="宋体" w:cs="Times New Roman"/>
                <w:b/>
                <w:bCs/>
                <w:color w:val="000000"/>
                <w:kern w:val="24"/>
                <w:sz w:val="24"/>
                <w:szCs w:val="24"/>
                <w:highlight w:val="none"/>
                <w:lang w:val="zh-CN" w:eastAsia="zh-CN" w:bidi="ar-SA"/>
              </w:rPr>
              <w:t>）</w:t>
            </w:r>
          </w:p>
          <w:p w14:paraId="673F3D1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6A48CF50">
            <w:pPr>
              <w:adjustRightInd w:val="0"/>
              <w:snapToGrid w:val="0"/>
              <w:spacing w:line="500" w:lineRule="exact"/>
              <w:ind w:firstLine="412" w:firstLineChars="172"/>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pP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本项目</w:t>
            </w:r>
            <w:r>
              <w:rPr>
                <w:rFonts w:hint="eastAsia"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主要生产豆沙馅和糖纳豆，其中豆沙馅</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具体工艺流程见图</w:t>
            </w:r>
            <w:r>
              <w:rPr>
                <w:rFonts w:hint="eastAsia"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2-2，糖纳豆具体生产工艺见图2-3所示</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w:t>
            </w:r>
          </w:p>
          <w:p w14:paraId="2C903C3F">
            <w:pPr>
              <w:pStyle w:val="2"/>
              <w:outlineLvl w:val="0"/>
              <w:rPr>
                <w:rFonts w:hint="eastAsia"/>
                <w:highlight w:val="none"/>
              </w:rPr>
            </w:pPr>
          </w:p>
          <w:p w14:paraId="5B1E29F9">
            <w:pPr>
              <w:pStyle w:val="2"/>
              <w:rPr>
                <w:rFonts w:ascii="Times New Roman" w:hAnsi="Times New Roman"/>
                <w:b/>
                <w:bCs/>
                <w:color w:val="000000"/>
                <w:sz w:val="24"/>
                <w:highlight w:val="none"/>
              </w:rPr>
            </w:pPr>
            <w:r>
              <w:rPr>
                <w:highlight w:val="none"/>
              </w:rPr>
              <w:drawing>
                <wp:anchor distT="0" distB="0" distL="114300" distR="114300" simplePos="0" relativeHeight="251665408" behindDoc="0" locked="0" layoutInCell="1" allowOverlap="1">
                  <wp:simplePos x="0" y="0"/>
                  <wp:positionH relativeFrom="column">
                    <wp:posOffset>692150</wp:posOffset>
                  </wp:positionH>
                  <wp:positionV relativeFrom="paragraph">
                    <wp:posOffset>142240</wp:posOffset>
                  </wp:positionV>
                  <wp:extent cx="4181475" cy="1584325"/>
                  <wp:effectExtent l="0" t="0" r="9525" b="15875"/>
                  <wp:wrapNone/>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2"/>
                          <a:stretch>
                            <a:fillRect/>
                          </a:stretch>
                        </pic:blipFill>
                        <pic:spPr>
                          <a:xfrm>
                            <a:off x="0" y="0"/>
                            <a:ext cx="4181475" cy="1584325"/>
                          </a:xfrm>
                          <a:prstGeom prst="rect">
                            <a:avLst/>
                          </a:prstGeom>
                          <a:noFill/>
                          <a:ln>
                            <a:noFill/>
                          </a:ln>
                        </pic:spPr>
                      </pic:pic>
                    </a:graphicData>
                  </a:graphic>
                </wp:anchor>
              </w:drawing>
            </w:r>
          </w:p>
          <w:p w14:paraId="090B7073">
            <w:pPr>
              <w:rPr>
                <w:rFonts w:ascii="Times New Roman" w:hAnsi="Times New Roman"/>
                <w:b/>
                <w:bCs/>
                <w:color w:val="000000"/>
                <w:sz w:val="24"/>
                <w:highlight w:val="none"/>
              </w:rPr>
            </w:pPr>
          </w:p>
          <w:p w14:paraId="695D37FC">
            <w:pPr>
              <w:pStyle w:val="2"/>
              <w:rPr>
                <w:rFonts w:ascii="Times New Roman" w:hAnsi="Times New Roman"/>
                <w:b/>
                <w:bCs/>
                <w:color w:val="000000"/>
                <w:sz w:val="24"/>
                <w:highlight w:val="none"/>
              </w:rPr>
            </w:pPr>
          </w:p>
          <w:p w14:paraId="0D9C898D"/>
          <w:p w14:paraId="74C3D16B">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imes New Roman" w:hAnsi="Times New Roman" w:eastAsia="宋体" w:cs="Times New Roman"/>
                <w:b/>
                <w:bCs w:val="0"/>
                <w:sz w:val="24"/>
                <w:szCs w:val="21"/>
                <w:highlight w:val="none"/>
              </w:rPr>
            </w:pPr>
          </w:p>
          <w:p w14:paraId="45ADE9E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Times New Roman" w:hAnsi="Times New Roman" w:eastAsia="宋体" w:cs="Times New Roman"/>
                <w:b/>
                <w:bCs w:val="0"/>
                <w:sz w:val="24"/>
                <w:szCs w:val="21"/>
                <w:highlight w:val="none"/>
              </w:rPr>
            </w:pPr>
            <w:r>
              <w:rPr>
                <w:rFonts w:hint="eastAsia" w:ascii="Times New Roman" w:hAnsi="Times New Roman" w:eastAsia="宋体" w:cs="Times New Roman"/>
                <w:b/>
                <w:bCs w:val="0"/>
                <w:sz w:val="24"/>
                <w:szCs w:val="21"/>
                <w:highlight w:val="none"/>
              </w:rPr>
              <w:t>图2-</w:t>
            </w:r>
            <w:r>
              <w:rPr>
                <w:rFonts w:hint="eastAsia" w:ascii="Times New Roman" w:hAnsi="Times New Roman" w:eastAsia="宋体" w:cs="Times New Roman"/>
                <w:b/>
                <w:bCs w:val="0"/>
                <w:sz w:val="24"/>
                <w:szCs w:val="21"/>
                <w:highlight w:val="none"/>
                <w:lang w:val="en-US" w:eastAsia="zh-CN"/>
              </w:rPr>
              <w:t>2</w:t>
            </w:r>
            <w:r>
              <w:rPr>
                <w:rFonts w:hint="eastAsia" w:ascii="Times New Roman" w:hAnsi="Times New Roman" w:eastAsia="宋体" w:cs="Times New Roman"/>
                <w:b/>
                <w:bCs w:val="0"/>
                <w:sz w:val="24"/>
                <w:szCs w:val="21"/>
                <w:highlight w:val="none"/>
              </w:rPr>
              <w:t xml:space="preserve">  豆沙馅工艺流程及产污环节图</w:t>
            </w:r>
          </w:p>
          <w:p w14:paraId="76FFC4D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工艺流程简述：</w:t>
            </w:r>
          </w:p>
          <w:p w14:paraId="226DCA2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清洗：本项目外购的红小豆（绿小豆）均为精品小豆，无需进行选豆，直接采用清洗机进行清洗，去除附着在原料表面的灰尘，此过程会产生洗豆废水、噪声和废包装袋。</w:t>
            </w:r>
          </w:p>
          <w:p w14:paraId="2FCC39F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煮豆：清洗后的红小豆（绿小豆）放入煮罐内，并加入一定量的纯水进行煮制，煮豆过程采用蒸汽加热，将煮罐中水煮开煮1小时，然后再闷2小时，煮完后人工检验其硬度，未煮熟的豆需再用蒸箱进行蒸熟。此过程会产生煮豆废水和噪声。</w:t>
            </w:r>
          </w:p>
          <w:p w14:paraId="3DAB2F4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打浆、研磨、榨沙：煮制后，红小豆连同热水一同进入打浆机中打成细小颗粒，然后移入胶体磨进行研磨，使之完全粉碎并充分混合，然后再用板框压滤机进行榨沙。该过程主要会产生设备清洗废水和噪声。</w:t>
            </w:r>
          </w:p>
          <w:p w14:paraId="0B429C8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浓缩：将榨好的豆沙移至浓缩锅中，同时加入白沙糖和麦芽糖醇，进行浓缩，除出多余水分，浓缩过程采用蒸汽进行加热，加热温度90℃，浓缩时间30min，由于浓缩锅需要定期清洗，因此会产生清洗废水和噪声。</w:t>
            </w:r>
          </w:p>
          <w:p w14:paraId="3D69399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内包装：将浓缩好的豆沙馅移至全自动包装机上进行装袋、封口，封口过程会产生有机废气。</w:t>
            </w:r>
          </w:p>
          <w:p w14:paraId="4473E50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lang w:val="en-US" w:eastAsia="zh-CN"/>
              </w:rPr>
            </w:pPr>
            <w:r>
              <w:rPr>
                <w:rFonts w:hint="eastAsia" w:ascii="Times New Roman" w:hAnsi="Times New Roman" w:eastAsia="宋体" w:cs="Times New Roman"/>
                <w:bCs/>
                <w:sz w:val="24"/>
                <w:szCs w:val="21"/>
                <w:highlight w:val="none"/>
                <w:lang w:val="en-US" w:eastAsia="zh-CN"/>
              </w:rPr>
              <w:t>杀菌：本项目采用高温杀菌，将密封好的袋装豆沙馅移至杀菌池中，用95℃以上的热水进行水浴杀菌，当水浴杀菌保持5-10分钟可杀死细菌繁殖体，保持1-3小时可杀死芽胞。本项目杀菌时间为90min，杀菌池配有配套盖子，杀菌过程为加盖密闭，杀菌池中的水需定期更换，该过程主要会产生杀菌废水 。</w:t>
            </w:r>
          </w:p>
          <w:p w14:paraId="7AFA57B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lang w:val="en-US" w:eastAsia="zh-CN"/>
              </w:rPr>
            </w:pPr>
            <w:r>
              <w:rPr>
                <w:rFonts w:hint="eastAsia" w:ascii="Times New Roman" w:hAnsi="Times New Roman" w:eastAsia="宋体" w:cs="Times New Roman"/>
                <w:bCs/>
                <w:sz w:val="24"/>
                <w:szCs w:val="21"/>
                <w:highlight w:val="none"/>
                <w:lang w:val="en-US" w:eastAsia="zh-CN"/>
              </w:rPr>
              <w:t>高温杀菌的工作原理：当高温作用于微生物时，首先引起细胞内生理生化反应速率加快，机体内对温度敏感的物质如蛋白质、核酸等，随着温度的增高而遭受不可逆的破坏，尽而导致细胞内原生质体的变化、酶结构的破坏，从而使细胞失去了生活机能上的协调，停止了生长发育。随着高温的继续作用，细胞内原生质便发生凝固，酶结构完全破坏，活动消失，生化反应停止，渗透交换等新陈代谢活动消失，细胞死亡。</w:t>
            </w:r>
          </w:p>
          <w:p w14:paraId="5C2338B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冷却：将杀菌好的豆沙馅移至冷却池中进行冷却降温，冷却时间为120min，冷却池中的水需定期更换，该过程主要会产生冷却废水。</w:t>
            </w:r>
          </w:p>
          <w:p w14:paraId="2FC91D3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风干、整平、外包装：将冷却后的豆沙馅移至风干区，采用风机将包装袋表面的水分吹干，然后采用滚轮式整平机将包装袋压平，整平后经金属检测仪检测是否有异物（防止设备上有螺丝松动掉入产品中），合格产品装箱打包。风干过程会产生噪声，不合格产品返工处理。</w:t>
            </w:r>
          </w:p>
          <w:p w14:paraId="15A2B654">
            <w:pPr>
              <w:pStyle w:val="2"/>
              <w:keepNext/>
              <w:keepLines w:val="0"/>
              <w:pageBreakBefore w:val="0"/>
              <w:widowControl w:val="0"/>
              <w:kinsoku/>
              <w:wordWrap/>
              <w:overflowPunct w:val="0"/>
              <w:topLinePunct w:val="0"/>
              <w:autoSpaceDE/>
              <w:autoSpaceDN/>
              <w:bidi w:val="0"/>
              <w:adjustRightInd/>
              <w:snapToGrid/>
              <w:spacing w:before="0" w:after="0" w:line="240" w:lineRule="auto"/>
              <w:ind w:left="0" w:firstLine="0"/>
              <w:jc w:val="center"/>
              <w:textAlignment w:val="auto"/>
              <w:outlineLvl w:val="0"/>
              <w:rPr>
                <w:rFonts w:hint="eastAsia" w:ascii="Times New Roman" w:hAnsi="Times New Roman" w:eastAsia="黑体"/>
                <w:sz w:val="24"/>
                <w:szCs w:val="21"/>
                <w:highlight w:val="none"/>
                <w:lang w:eastAsia="zh-CN"/>
              </w:rPr>
            </w:pPr>
            <w:r>
              <w:rPr>
                <w:rFonts w:hint="eastAsia" w:ascii="Times New Roman" w:hAnsi="Times New Roman" w:eastAsia="黑体"/>
                <w:sz w:val="24"/>
                <w:szCs w:val="21"/>
                <w:highlight w:val="none"/>
                <w:lang w:eastAsia="zh-CN"/>
              </w:rPr>
              <w:drawing>
                <wp:inline distT="0" distB="0" distL="114300" distR="114300">
                  <wp:extent cx="5044440" cy="1126490"/>
                  <wp:effectExtent l="0" t="0" r="3810" b="16510"/>
                  <wp:docPr id="46"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descr="图片1"/>
                          <pic:cNvPicPr>
                            <a:picLocks noChangeAspect="1"/>
                          </pic:cNvPicPr>
                        </pic:nvPicPr>
                        <pic:blipFill>
                          <a:blip r:embed="rId13"/>
                          <a:stretch>
                            <a:fillRect/>
                          </a:stretch>
                        </pic:blipFill>
                        <pic:spPr>
                          <a:xfrm>
                            <a:off x="0" y="0"/>
                            <a:ext cx="5044440" cy="1126490"/>
                          </a:xfrm>
                          <a:prstGeom prst="rect">
                            <a:avLst/>
                          </a:prstGeom>
                          <a:noFill/>
                          <a:ln>
                            <a:noFill/>
                          </a:ln>
                        </pic:spPr>
                      </pic:pic>
                    </a:graphicData>
                  </a:graphic>
                </wp:inline>
              </w:drawing>
            </w:r>
          </w:p>
          <w:p w14:paraId="161AE4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val="0"/>
                <w:sz w:val="24"/>
                <w:szCs w:val="21"/>
                <w:highlight w:val="none"/>
              </w:rPr>
            </w:pPr>
            <w:r>
              <w:rPr>
                <w:rFonts w:hint="eastAsia" w:ascii="Times New Roman" w:hAnsi="Times New Roman" w:eastAsia="宋体" w:cs="Times New Roman"/>
                <w:b/>
                <w:bCs w:val="0"/>
                <w:sz w:val="24"/>
                <w:szCs w:val="21"/>
                <w:highlight w:val="none"/>
              </w:rPr>
              <w:t>图2-</w:t>
            </w:r>
            <w:r>
              <w:rPr>
                <w:rFonts w:hint="eastAsia" w:ascii="Times New Roman" w:hAnsi="Times New Roman" w:eastAsia="宋体" w:cs="Times New Roman"/>
                <w:b/>
                <w:bCs w:val="0"/>
                <w:sz w:val="24"/>
                <w:szCs w:val="21"/>
                <w:highlight w:val="none"/>
                <w:lang w:val="en-US" w:eastAsia="zh-CN"/>
              </w:rPr>
              <w:t>3</w:t>
            </w:r>
            <w:r>
              <w:rPr>
                <w:rFonts w:hint="eastAsia" w:ascii="Times New Roman" w:hAnsi="Times New Roman" w:eastAsia="宋体" w:cs="Times New Roman"/>
                <w:b/>
                <w:bCs w:val="0"/>
                <w:sz w:val="24"/>
                <w:szCs w:val="21"/>
                <w:highlight w:val="none"/>
              </w:rPr>
              <w:t xml:space="preserve">  糖纳豆工艺流程及产污环节图</w:t>
            </w:r>
          </w:p>
          <w:p w14:paraId="4EBE2C3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工艺流程简述：</w:t>
            </w:r>
          </w:p>
          <w:p w14:paraId="3FB3E7B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清洗：本项目外购的红小豆（绿小豆）均为精品小豆，无需进行选豆，直接采用清洗机进行清洗，去除附着在原料表面的灰尘，此过程会产生洗豆废水、噪声和废包装袋。</w:t>
            </w:r>
          </w:p>
          <w:p w14:paraId="74D55B4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蒸煮：清洗后的红小豆（绿小豆）放入蒸煮笼上，多个蒸煮笼叠放浸入到蒸煮锅内，并加入一定量的纯水进行蒸煮，蒸煮过程采用蒸汽加热，将蒸煮锅中的水煮开，煮1小时，然后再闷2小时。此过程会产生蒸煮废水和噪声。</w:t>
            </w:r>
          </w:p>
          <w:p w14:paraId="46FFDF1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浸糖：将白沙糖和麦芽糖醇先放入化糖罐中，加入适量的水进行化糖，本项目糖与纯水的比例为7:3，化糖过程采用蒸汽加热，加热温度为80℃，化糖时间为30min，然后抽至真空浓缩机中进行浓缩。浓缩好的糖抽至浸糖锅内，将蒸煮好的红小豆（绿小豆）放入浸糖锅中进行浸糖，浸糖锅需要定期清洗，因此会产生清洗废水和噪声。</w:t>
            </w:r>
          </w:p>
          <w:p w14:paraId="4757FB4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风干：将浸糖后的红小豆（绿小豆）放入操作台面上，然后移至风干区，使糖凝固。风干过程会产生噪声。</w:t>
            </w:r>
          </w:p>
          <w:p w14:paraId="1745BD9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内包装：将风干好的糖纳豆移至全自动包装机上进行装袋、封口，封口过程会产生有机废气。</w:t>
            </w:r>
          </w:p>
          <w:p w14:paraId="63BFBC6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杀菌：将密封好的袋装糖纳豆移至杀菌池中，用95℃以上的热水进行水浴杀菌，杀菌</w:t>
            </w:r>
            <w:r>
              <w:rPr>
                <w:rFonts w:hint="eastAsia" w:ascii="Times New Roman" w:hAnsi="Times New Roman" w:eastAsia="宋体" w:cs="Times New Roman"/>
                <w:bCs/>
                <w:sz w:val="24"/>
                <w:szCs w:val="21"/>
                <w:highlight w:val="none"/>
                <w:lang w:val="en-US" w:eastAsia="zh-CN"/>
              </w:rPr>
              <w:t>9</w:t>
            </w:r>
            <w:r>
              <w:rPr>
                <w:rFonts w:hint="eastAsia" w:ascii="Times New Roman" w:hAnsi="Times New Roman" w:eastAsia="宋体" w:cs="Times New Roman"/>
                <w:bCs/>
                <w:sz w:val="24"/>
                <w:szCs w:val="21"/>
                <w:highlight w:val="none"/>
              </w:rPr>
              <w:t xml:space="preserve">0min，杀菌池配有配套盖子，杀菌过程为加盖密闭，杀菌池中的水需定期更换，该过程主要会产生杀菌废水。 </w:t>
            </w:r>
          </w:p>
          <w:p w14:paraId="034248E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冷却：将杀菌好的糖纳豆放入冷却池中进行浸泡降温，冷却时间为120min，冷却池中的水需定期更换，该过程主要会产生冷却废水。</w:t>
            </w:r>
          </w:p>
          <w:p w14:paraId="06C493F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Cs/>
                <w:sz w:val="24"/>
                <w:szCs w:val="21"/>
                <w:highlight w:val="none"/>
              </w:rPr>
            </w:pPr>
            <w:r>
              <w:rPr>
                <w:rFonts w:hint="eastAsia" w:ascii="Times New Roman" w:hAnsi="Times New Roman" w:eastAsia="宋体" w:cs="Times New Roman"/>
                <w:bCs/>
                <w:sz w:val="24"/>
                <w:szCs w:val="21"/>
                <w:highlight w:val="none"/>
              </w:rPr>
              <w:t>风干、外包装：将冷却后的糖纳豆移至风干区，采用风机将包装袋表面的水分吹干，然后经金属检测仪检测是否有异物（防止设备上有螺丝松动掉入产品中），合格产品装箱打包。风干过程会产生噪声，不合格产品返工处理。</w:t>
            </w:r>
          </w:p>
          <w:p w14:paraId="687F5410">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项目变动情况说明</w:t>
            </w:r>
            <w:r>
              <w:rPr>
                <w:rFonts w:hint="eastAsia" w:ascii="Times New Roman" w:hAnsi="Times New Roman" w:eastAsia="宋体" w:cs="Times New Roman"/>
                <w:b/>
                <w:bCs/>
                <w:color w:val="000000"/>
                <w:kern w:val="24"/>
                <w:sz w:val="24"/>
                <w:szCs w:val="24"/>
                <w:highlight w:val="none"/>
                <w:lang w:val="en-US" w:eastAsia="zh-CN" w:bidi="ar-SA"/>
              </w:rPr>
              <w:t>：</w:t>
            </w:r>
          </w:p>
          <w:p w14:paraId="134F91D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24"/>
                <w:sz w:val="24"/>
                <w:szCs w:val="24"/>
                <w:highlight w:val="none"/>
                <w:lang w:val="en-US" w:eastAsia="zh-CN" w:bidi="ar-SA"/>
              </w:rPr>
              <w:t>《关于印发环评管理中部分</w:t>
            </w:r>
            <w:r>
              <w:rPr>
                <w:rFonts w:hint="default" w:ascii="Times New Roman" w:hAnsi="Times New Roman" w:eastAsia="宋体" w:cs="Times New Roman"/>
                <w:color w:val="auto"/>
                <w:sz w:val="24"/>
                <w:szCs w:val="24"/>
                <w:lang w:val="en-US" w:eastAsia="zh-CN"/>
              </w:rPr>
              <w:t>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31E4164C">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经现</w:t>
            </w:r>
            <w:r>
              <w:rPr>
                <w:rFonts w:hint="default" w:ascii="Times New Roman" w:hAnsi="Times New Roman" w:eastAsia="宋体" w:cs="Times New Roman"/>
                <w:color w:val="auto"/>
                <w:sz w:val="24"/>
                <w:szCs w:val="24"/>
                <w:lang w:val="en-US" w:eastAsia="zh-CN"/>
              </w:rPr>
              <w:t>场勘查，</w:t>
            </w:r>
            <w:r>
              <w:rPr>
                <w:rFonts w:hint="eastAsia" w:ascii="Times New Roman" w:hAnsi="Times New Roman" w:eastAsia="宋体" w:cs="Times New Roman"/>
                <w:color w:val="auto"/>
                <w:sz w:val="24"/>
                <w:szCs w:val="24"/>
                <w:lang w:val="en-US" w:eastAsia="zh-CN"/>
              </w:rPr>
              <w:t>本项目实际建设内容与环评基本一致，其中冷却池原环评预计为2个16m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，实际建设为4个8m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，总容积不变；糖纳豆生产线取消灌装机，风干过程所用风机增加2台，其他生产设备与环评一致。根据《河南省生态环境厅关于印发河南省低效失效大气污染治理设施排查整治实施方案的通知》（豫环文〔</w:t>
            </w:r>
            <w:r>
              <w:rPr>
                <w:rFonts w:hint="default" w:ascii="Times New Roman" w:hAnsi="Times New Roman" w:eastAsia="宋体" w:cs="Times New Roman"/>
                <w:color w:val="auto"/>
                <w:sz w:val="24"/>
                <w:szCs w:val="24"/>
                <w:lang w:val="en-US" w:eastAsia="zh-CN"/>
              </w:rPr>
              <w:t>2024〕132 号</w:t>
            </w:r>
            <w:r>
              <w:rPr>
                <w:rFonts w:hint="eastAsia" w:ascii="Times New Roman" w:hAnsi="Times New Roman" w:eastAsia="宋体" w:cs="Times New Roman"/>
                <w:color w:val="auto"/>
                <w:sz w:val="24"/>
                <w:szCs w:val="24"/>
                <w:lang w:val="en-US" w:eastAsia="zh-CN"/>
              </w:rPr>
              <w:t>）可知，UV光催化治理设备已被列为低效环保设施，原环评中封口废气由“UV光催化+活性炭吸附装置”进行处理，实际建设为“二级活性炭吸附装置，将UV光催化更换为活性炭吸附装置，均</w:t>
            </w:r>
            <w:r>
              <w:rPr>
                <w:rFonts w:hint="default" w:ascii="Times New Roman" w:hAnsi="Times New Roman" w:eastAsia="宋体" w:cs="Times New Roman"/>
                <w:color w:val="auto"/>
                <w:sz w:val="24"/>
                <w:szCs w:val="24"/>
                <w:lang w:val="en-US" w:eastAsia="zh-CN"/>
              </w:rPr>
              <w:t>不</w:t>
            </w:r>
            <w:r>
              <w:rPr>
                <w:rFonts w:hint="eastAsia"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lang w:val="en-US" w:eastAsia="zh-CN"/>
              </w:rPr>
              <w:t>重大变动。</w:t>
            </w:r>
          </w:p>
        </w:tc>
      </w:tr>
    </w:tbl>
    <w:p w14:paraId="1E045D77">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5B2B8F1E">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3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CF7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7CD2F3E3">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39EC606A">
            <w:pPr>
              <w:pStyle w:val="14"/>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463F97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封口废气</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产生的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非甲烷总烃</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14:paraId="5EB7CFB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9</w:t>
            </w:r>
            <w:r>
              <w:rPr>
                <w:rFonts w:hint="default" w:ascii="Times New Roman" w:hAnsi="Times New Roman" w:cs="Times New Roman" w:eastAsiaTheme="minorEastAsia"/>
                <w:b/>
                <w:bCs/>
                <w:color w:val="auto"/>
                <w:kern w:val="2"/>
                <w:sz w:val="21"/>
                <w:szCs w:val="21"/>
                <w:lang w:val="en-US" w:eastAsia="zh-CN" w:bidi="ar-SA"/>
              </w:rPr>
              <w:t xml:space="preserve"> 本项目废气污染物情况一览表</w:t>
            </w:r>
          </w:p>
          <w:tbl>
            <w:tblPr>
              <w:tblStyle w:val="31"/>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776"/>
              <w:gridCol w:w="3111"/>
              <w:gridCol w:w="1529"/>
            </w:tblGrid>
            <w:tr w14:paraId="34ED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61EB64EB">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776" w:type="dxa"/>
                  <w:vAlign w:val="center"/>
                </w:tcPr>
                <w:p w14:paraId="4D4194C8">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111" w:type="dxa"/>
                  <w:vAlign w:val="center"/>
                </w:tcPr>
                <w:p w14:paraId="3E9BA65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529" w:type="dxa"/>
                  <w:vAlign w:val="center"/>
                </w:tcPr>
                <w:p w14:paraId="0B70DCA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F8C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5" w:type="dxa"/>
                  <w:vAlign w:val="center"/>
                </w:tcPr>
                <w:p w14:paraId="0F1C66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封口废气</w:t>
                  </w:r>
                </w:p>
              </w:tc>
              <w:tc>
                <w:tcPr>
                  <w:tcW w:w="1776" w:type="dxa"/>
                  <w:vAlign w:val="center"/>
                </w:tcPr>
                <w:p w14:paraId="4DD69DB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111" w:type="dxa"/>
                  <w:vAlign w:val="center"/>
                </w:tcPr>
                <w:p w14:paraId="6C032C13">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二级</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活性炭吸附+15m高排气筒（P1）</w:t>
                  </w:r>
                </w:p>
              </w:tc>
              <w:tc>
                <w:tcPr>
                  <w:tcW w:w="1529" w:type="dxa"/>
                  <w:vAlign w:val="center"/>
                </w:tcPr>
                <w:p w14:paraId="7A48058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2965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7FD5FD56">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776" w:type="dxa"/>
                  <w:vAlign w:val="center"/>
                </w:tcPr>
                <w:p w14:paraId="57B1277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111" w:type="dxa"/>
                  <w:vAlign w:val="center"/>
                </w:tcPr>
                <w:p w14:paraId="457DD59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车间内无组织排放，通过加强车间机械通风来改善车间环境</w:t>
                  </w:r>
                </w:p>
              </w:tc>
              <w:tc>
                <w:tcPr>
                  <w:tcW w:w="1529" w:type="dxa"/>
                  <w:vAlign w:val="center"/>
                </w:tcPr>
                <w:p w14:paraId="21771C96">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64B6C3CC">
            <w:pPr>
              <w:pStyle w:val="14"/>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5D6C2BE0">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项目运营期的废水主要为生活污水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其中生活污水排放量约为115.2t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，生产废水排放量为5619.1t/a，</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主要</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生产废水经调节池预处理后与经化粪池处理后的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一同进入长垣市常源污水处理厂</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排入长垣市第一污水处理厂。</w:t>
            </w:r>
          </w:p>
          <w:p w14:paraId="6F16CA6B">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54F1BEA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项目主要噪声源为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洗豆机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打浆机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胶体磨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板框压滤机、风机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等机械设施运行时产生的机械噪声，本项目高噪声设备源强在7</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降低源强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4C54DD0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10</w:t>
            </w:r>
            <w:r>
              <w:rPr>
                <w:rFonts w:hint="default" w:ascii="Times New Roman" w:hAnsi="Times New Roman" w:cs="Times New Roman" w:eastAsiaTheme="minorEastAsia"/>
                <w:b/>
                <w:bCs/>
                <w:color w:val="auto"/>
                <w:kern w:val="2"/>
                <w:sz w:val="21"/>
                <w:szCs w:val="21"/>
                <w:lang w:val="en-US" w:eastAsia="zh-CN" w:bidi="ar-SA"/>
              </w:rPr>
              <w:t xml:space="preserve"> 主要产噪设备及源强表</w:t>
            </w:r>
          </w:p>
          <w:tbl>
            <w:tblPr>
              <w:tblStyle w:val="31"/>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505"/>
              <w:gridCol w:w="1890"/>
              <w:gridCol w:w="3239"/>
            </w:tblGrid>
            <w:tr w14:paraId="634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restart"/>
                  <w:vAlign w:val="center"/>
                </w:tcPr>
                <w:p w14:paraId="5EDE907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序号</w:t>
                  </w:r>
                </w:p>
              </w:tc>
              <w:tc>
                <w:tcPr>
                  <w:tcW w:w="4395" w:type="dxa"/>
                  <w:gridSpan w:val="2"/>
                  <w:vAlign w:val="center"/>
                </w:tcPr>
                <w:p w14:paraId="647F87E8">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高噪声设备</w:t>
                  </w:r>
                </w:p>
              </w:tc>
              <w:tc>
                <w:tcPr>
                  <w:tcW w:w="3239" w:type="dxa"/>
                  <w:vMerge w:val="restart"/>
                  <w:vAlign w:val="center"/>
                </w:tcPr>
                <w:p w14:paraId="19ADD83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r>
            <w:tr w14:paraId="71EA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continue"/>
                  <w:vAlign w:val="center"/>
                </w:tcPr>
                <w:p w14:paraId="3E52FA6F">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2505" w:type="dxa"/>
                  <w:vAlign w:val="center"/>
                </w:tcPr>
                <w:p w14:paraId="68F40E9D">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设备名称</w:t>
                  </w:r>
                </w:p>
              </w:tc>
              <w:tc>
                <w:tcPr>
                  <w:tcW w:w="1890" w:type="dxa"/>
                  <w:vAlign w:val="center"/>
                </w:tcPr>
                <w:p w14:paraId="19EE83C3">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噪声源强</w:t>
                  </w:r>
                </w:p>
              </w:tc>
              <w:tc>
                <w:tcPr>
                  <w:tcW w:w="3239" w:type="dxa"/>
                  <w:vMerge w:val="continue"/>
                  <w:vAlign w:val="center"/>
                </w:tcPr>
                <w:p w14:paraId="60B7BC58">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33D5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3B389A5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w:t>
                  </w:r>
                </w:p>
              </w:tc>
              <w:tc>
                <w:tcPr>
                  <w:tcW w:w="2505" w:type="dxa"/>
                  <w:vAlign w:val="center"/>
                </w:tcPr>
                <w:p w14:paraId="7AC54C51">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洗豆机</w:t>
                  </w:r>
                </w:p>
              </w:tc>
              <w:tc>
                <w:tcPr>
                  <w:tcW w:w="1890" w:type="dxa"/>
                  <w:vAlign w:val="center"/>
                </w:tcPr>
                <w:p w14:paraId="0E6C0A1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p>
              </w:tc>
              <w:tc>
                <w:tcPr>
                  <w:tcW w:w="3239" w:type="dxa"/>
                  <w:vAlign w:val="center"/>
                </w:tcPr>
                <w:p w14:paraId="27535F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4A04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68C2CE8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p>
              </w:tc>
              <w:tc>
                <w:tcPr>
                  <w:tcW w:w="2505" w:type="dxa"/>
                  <w:vAlign w:val="center"/>
                </w:tcPr>
                <w:p w14:paraId="0B6A31C8">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打浆机</w:t>
                  </w:r>
                </w:p>
              </w:tc>
              <w:tc>
                <w:tcPr>
                  <w:tcW w:w="1890" w:type="dxa"/>
                  <w:vAlign w:val="center"/>
                </w:tcPr>
                <w:p w14:paraId="7F60325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80</w:t>
                  </w:r>
                </w:p>
              </w:tc>
              <w:tc>
                <w:tcPr>
                  <w:tcW w:w="3239" w:type="dxa"/>
                  <w:vAlign w:val="center"/>
                </w:tcPr>
                <w:p w14:paraId="7E51B8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5AD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25049D4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w:t>
                  </w:r>
                </w:p>
              </w:tc>
              <w:tc>
                <w:tcPr>
                  <w:tcW w:w="2505" w:type="dxa"/>
                  <w:vAlign w:val="center"/>
                </w:tcPr>
                <w:p w14:paraId="17108087">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胶体磨</w:t>
                  </w:r>
                </w:p>
              </w:tc>
              <w:tc>
                <w:tcPr>
                  <w:tcW w:w="1890" w:type="dxa"/>
                  <w:vAlign w:val="center"/>
                </w:tcPr>
                <w:p w14:paraId="633C1A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75</w:t>
                  </w:r>
                </w:p>
              </w:tc>
              <w:tc>
                <w:tcPr>
                  <w:tcW w:w="3239" w:type="dxa"/>
                  <w:vAlign w:val="center"/>
                </w:tcPr>
                <w:p w14:paraId="1FBE9C7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3386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7B50E19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4</w:t>
                  </w:r>
                </w:p>
              </w:tc>
              <w:tc>
                <w:tcPr>
                  <w:tcW w:w="2505" w:type="dxa"/>
                  <w:vAlign w:val="center"/>
                </w:tcPr>
                <w:p w14:paraId="03FF95DD">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板框压滤机</w:t>
                  </w:r>
                </w:p>
              </w:tc>
              <w:tc>
                <w:tcPr>
                  <w:tcW w:w="1890" w:type="dxa"/>
                  <w:vAlign w:val="center"/>
                </w:tcPr>
                <w:p w14:paraId="01F0E70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75</w:t>
                  </w:r>
                </w:p>
              </w:tc>
              <w:tc>
                <w:tcPr>
                  <w:tcW w:w="3239" w:type="dxa"/>
                  <w:vAlign w:val="center"/>
                </w:tcPr>
                <w:p w14:paraId="24FA71A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11C3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22FF0C1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5</w:t>
                  </w:r>
                </w:p>
              </w:tc>
              <w:tc>
                <w:tcPr>
                  <w:tcW w:w="2505" w:type="dxa"/>
                  <w:vAlign w:val="center"/>
                </w:tcPr>
                <w:p w14:paraId="64F252D9">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风机</w:t>
                  </w:r>
                </w:p>
              </w:tc>
              <w:tc>
                <w:tcPr>
                  <w:tcW w:w="1890" w:type="dxa"/>
                  <w:vAlign w:val="center"/>
                </w:tcPr>
                <w:p w14:paraId="0DE8CE6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80</w:t>
                  </w:r>
                </w:p>
              </w:tc>
              <w:tc>
                <w:tcPr>
                  <w:tcW w:w="3239" w:type="dxa"/>
                  <w:vAlign w:val="center"/>
                </w:tcPr>
                <w:p w14:paraId="4F5C7A5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1460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386CD319">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6</w:t>
                  </w:r>
                </w:p>
              </w:tc>
              <w:tc>
                <w:tcPr>
                  <w:tcW w:w="2505" w:type="dxa"/>
                  <w:vAlign w:val="center"/>
                </w:tcPr>
                <w:p w14:paraId="6F980F63">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真空浓缩机</w:t>
                  </w:r>
                </w:p>
              </w:tc>
              <w:tc>
                <w:tcPr>
                  <w:tcW w:w="1890" w:type="dxa"/>
                  <w:vAlign w:val="center"/>
                </w:tcPr>
                <w:p w14:paraId="5861FD5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75</w:t>
                  </w:r>
                </w:p>
              </w:tc>
              <w:tc>
                <w:tcPr>
                  <w:tcW w:w="3239" w:type="dxa"/>
                  <w:vAlign w:val="center"/>
                </w:tcPr>
                <w:p w14:paraId="63C90CA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5CE2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29A735B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7</w:t>
                  </w:r>
                </w:p>
              </w:tc>
              <w:tc>
                <w:tcPr>
                  <w:tcW w:w="2505" w:type="dxa"/>
                  <w:vAlign w:val="center"/>
                </w:tcPr>
                <w:p w14:paraId="2DF75494">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全自动包装机</w:t>
                  </w:r>
                </w:p>
              </w:tc>
              <w:tc>
                <w:tcPr>
                  <w:tcW w:w="1890" w:type="dxa"/>
                  <w:vAlign w:val="center"/>
                </w:tcPr>
                <w:p w14:paraId="5D5848A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70</w:t>
                  </w:r>
                </w:p>
              </w:tc>
              <w:tc>
                <w:tcPr>
                  <w:tcW w:w="3239" w:type="dxa"/>
                  <w:vAlign w:val="center"/>
                </w:tcPr>
                <w:p w14:paraId="601940E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7B53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2222FB82">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8</w:t>
                  </w:r>
                </w:p>
              </w:tc>
              <w:tc>
                <w:tcPr>
                  <w:tcW w:w="2505" w:type="dxa"/>
                  <w:vAlign w:val="center"/>
                </w:tcPr>
                <w:p w14:paraId="53059A00">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真空封口机</w:t>
                  </w:r>
                </w:p>
              </w:tc>
              <w:tc>
                <w:tcPr>
                  <w:tcW w:w="1890" w:type="dxa"/>
                  <w:vAlign w:val="center"/>
                </w:tcPr>
                <w:p w14:paraId="5D03AF1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70</w:t>
                  </w:r>
                </w:p>
              </w:tc>
              <w:tc>
                <w:tcPr>
                  <w:tcW w:w="3239" w:type="dxa"/>
                  <w:vAlign w:val="center"/>
                </w:tcPr>
                <w:p w14:paraId="628AB9D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2861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26" w:type="dxa"/>
                  <w:vAlign w:val="center"/>
                </w:tcPr>
                <w:p w14:paraId="6AFD13F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9</w:t>
                  </w:r>
                </w:p>
              </w:tc>
              <w:tc>
                <w:tcPr>
                  <w:tcW w:w="2505" w:type="dxa"/>
                  <w:vAlign w:val="center"/>
                </w:tcPr>
                <w:p w14:paraId="4BD2D01D">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风干机</w:t>
                  </w:r>
                </w:p>
              </w:tc>
              <w:tc>
                <w:tcPr>
                  <w:tcW w:w="1890" w:type="dxa"/>
                  <w:vAlign w:val="center"/>
                </w:tcPr>
                <w:p w14:paraId="038EDC7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80</w:t>
                  </w:r>
                </w:p>
              </w:tc>
              <w:tc>
                <w:tcPr>
                  <w:tcW w:w="3239" w:type="dxa"/>
                  <w:vAlign w:val="center"/>
                </w:tcPr>
                <w:p w14:paraId="5F71A9E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bl>
          <w:p w14:paraId="725B92DC">
            <w:pPr>
              <w:pStyle w:val="14"/>
              <w:keepNext w:val="0"/>
              <w:keepLines w:val="0"/>
              <w:pageBreakBefore w:val="0"/>
              <w:widowControl/>
              <w:kinsoku/>
              <w:wordWrap/>
              <w:overflowPunct/>
              <w:topLinePunct w:val="0"/>
              <w:autoSpaceDE/>
              <w:autoSpaceDN/>
              <w:bidi w:val="0"/>
              <w:adjustRightInd w:val="0"/>
              <w:snapToGrid w:val="0"/>
              <w:spacing w:after="0" w:line="520" w:lineRule="exact"/>
              <w:ind w:left="465"/>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p>
          <w:p w14:paraId="0206E693">
            <w:pPr>
              <w:pStyle w:val="14"/>
              <w:keepNext w:val="0"/>
              <w:keepLines w:val="0"/>
              <w:pageBreakBefore w:val="0"/>
              <w:widowControl/>
              <w:kinsoku/>
              <w:wordWrap/>
              <w:overflowPunct/>
              <w:topLinePunct w:val="0"/>
              <w:autoSpaceDE/>
              <w:autoSpaceDN/>
              <w:bidi w:val="0"/>
              <w:adjustRightInd w:val="0"/>
              <w:snapToGrid w:val="0"/>
              <w:spacing w:after="0" w:line="520" w:lineRule="exact"/>
              <w:ind w:left="465"/>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406CC54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lang w:eastAsia="zh-CN"/>
                <w14:textFill>
                  <w14:solidFill>
                    <w14:schemeClr w14:val="tx1"/>
                  </w14:solidFill>
                </w14:textFill>
              </w:rPr>
              <w:t>本项目产生的固体废物主要是一般工业固体废物、危险废物和职工生活垃圾。</w:t>
            </w:r>
          </w:p>
          <w:p w14:paraId="210BC19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1</w:t>
            </w:r>
            <w:r>
              <w:rPr>
                <w:rFonts w:hint="default" w:ascii="Times New Roman" w:hAnsi="Times New Roman" w:cs="Times New Roman" w:eastAsiaTheme="minorEastAsia"/>
                <w:b/>
                <w:bCs/>
                <w:color w:val="auto"/>
                <w:kern w:val="2"/>
                <w:sz w:val="21"/>
                <w:szCs w:val="21"/>
                <w:lang w:val="en-US" w:eastAsia="zh-CN" w:bidi="ar-SA"/>
              </w:rPr>
              <w:t xml:space="preserve"> 项目实施后固体废物产生情况一览表</w:t>
            </w:r>
          </w:p>
          <w:tbl>
            <w:tblPr>
              <w:tblStyle w:val="30"/>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2"/>
              <w:gridCol w:w="723"/>
              <w:gridCol w:w="974"/>
              <w:gridCol w:w="972"/>
              <w:gridCol w:w="856"/>
              <w:gridCol w:w="968"/>
              <w:gridCol w:w="968"/>
              <w:gridCol w:w="967"/>
              <w:gridCol w:w="1742"/>
            </w:tblGrid>
            <w:tr w14:paraId="1499E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45" w:type="dxa"/>
                  <w:gridSpan w:val="2"/>
                  <w:tcBorders>
                    <w:tl2br w:val="nil"/>
                    <w:tr2bl w:val="nil"/>
                  </w:tcBorders>
                  <w:vAlign w:val="center"/>
                </w:tcPr>
                <w:p w14:paraId="33398F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名称</w:t>
                  </w:r>
                </w:p>
              </w:tc>
              <w:tc>
                <w:tcPr>
                  <w:tcW w:w="974" w:type="dxa"/>
                  <w:tcBorders>
                    <w:tl2br w:val="nil"/>
                    <w:tr2bl w:val="nil"/>
                  </w:tcBorders>
                  <w:vAlign w:val="center"/>
                </w:tcPr>
                <w:p w14:paraId="07F065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主要成分</w:t>
                  </w:r>
                </w:p>
              </w:tc>
              <w:tc>
                <w:tcPr>
                  <w:tcW w:w="972" w:type="dxa"/>
                  <w:tcBorders>
                    <w:tl2br w:val="nil"/>
                    <w:tr2bl w:val="nil"/>
                  </w:tcBorders>
                  <w:vAlign w:val="center"/>
                </w:tcPr>
                <w:p w14:paraId="0995104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856" w:type="dxa"/>
                  <w:tcBorders>
                    <w:tl2br w:val="nil"/>
                    <w:tr2bl w:val="nil"/>
                  </w:tcBorders>
                  <w:vAlign w:val="center"/>
                </w:tcPr>
                <w:p w14:paraId="00E846D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类别</w:t>
                  </w:r>
                </w:p>
              </w:tc>
              <w:tc>
                <w:tcPr>
                  <w:tcW w:w="968" w:type="dxa"/>
                  <w:tcBorders>
                    <w:tl2br w:val="nil"/>
                    <w:tr2bl w:val="nil"/>
                  </w:tcBorders>
                  <w:vAlign w:val="center"/>
                </w:tcPr>
                <w:p w14:paraId="34ED1D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储存方式</w:t>
                  </w:r>
                </w:p>
              </w:tc>
              <w:tc>
                <w:tcPr>
                  <w:tcW w:w="968" w:type="dxa"/>
                  <w:tcBorders>
                    <w:tl2br w:val="nil"/>
                    <w:tr2bl w:val="nil"/>
                  </w:tcBorders>
                  <w:vAlign w:val="center"/>
                </w:tcPr>
                <w:p w14:paraId="6924CEA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建筑面积</w:t>
                  </w:r>
                </w:p>
              </w:tc>
              <w:tc>
                <w:tcPr>
                  <w:tcW w:w="967" w:type="dxa"/>
                  <w:tcBorders>
                    <w:tl2br w:val="nil"/>
                    <w:tr2bl w:val="nil"/>
                  </w:tcBorders>
                  <w:vAlign w:val="center"/>
                </w:tcPr>
                <w:p w14:paraId="2828A4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产生量</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t/a</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 xml:space="preserve">）                             </w:t>
                  </w:r>
                </w:p>
              </w:tc>
              <w:tc>
                <w:tcPr>
                  <w:tcW w:w="1742" w:type="dxa"/>
                  <w:tcBorders>
                    <w:tl2br w:val="nil"/>
                    <w:tr2bl w:val="nil"/>
                  </w:tcBorders>
                  <w:vAlign w:val="center"/>
                </w:tcPr>
                <w:p w14:paraId="5968169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处理方式</w:t>
                  </w:r>
                </w:p>
              </w:tc>
            </w:tr>
            <w:tr w14:paraId="013DB8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tcBorders>
                    <w:tl2br w:val="nil"/>
                    <w:tr2bl w:val="nil"/>
                  </w:tcBorders>
                  <w:vAlign w:val="center"/>
                </w:tcPr>
                <w:p w14:paraId="030E09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生活垃圾</w:t>
                  </w:r>
                </w:p>
              </w:tc>
              <w:tc>
                <w:tcPr>
                  <w:tcW w:w="723" w:type="dxa"/>
                  <w:tcBorders>
                    <w:tl2br w:val="nil"/>
                    <w:tr2bl w:val="nil"/>
                  </w:tcBorders>
                  <w:vAlign w:val="center"/>
                </w:tcPr>
                <w:p w14:paraId="72E11E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一般生活垃圾</w:t>
                  </w:r>
                </w:p>
              </w:tc>
              <w:tc>
                <w:tcPr>
                  <w:tcW w:w="974" w:type="dxa"/>
                  <w:tcBorders>
                    <w:tl2br w:val="nil"/>
                    <w:tr2bl w:val="nil"/>
                  </w:tcBorders>
                  <w:vAlign w:val="center"/>
                </w:tcPr>
                <w:p w14:paraId="3A024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办公生活垃圾</w:t>
                  </w:r>
                </w:p>
              </w:tc>
              <w:tc>
                <w:tcPr>
                  <w:tcW w:w="972" w:type="dxa"/>
                  <w:tcBorders>
                    <w:tl2br w:val="nil"/>
                    <w:tr2bl w:val="nil"/>
                  </w:tcBorders>
                  <w:vAlign w:val="center"/>
                </w:tcPr>
                <w:p w14:paraId="126E4A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日常办公、运营</w:t>
                  </w:r>
                </w:p>
              </w:tc>
              <w:tc>
                <w:tcPr>
                  <w:tcW w:w="856" w:type="dxa"/>
                  <w:tcBorders>
                    <w:tl2br w:val="nil"/>
                    <w:tr2bl w:val="nil"/>
                  </w:tcBorders>
                  <w:vAlign w:val="center"/>
                </w:tcPr>
                <w:p w14:paraId="47517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599DF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垃圾箱</w:t>
                  </w:r>
                </w:p>
              </w:tc>
              <w:tc>
                <w:tcPr>
                  <w:tcW w:w="968" w:type="dxa"/>
                  <w:tcBorders>
                    <w:tl2br w:val="nil"/>
                    <w:tr2bl w:val="nil"/>
                  </w:tcBorders>
                  <w:vAlign w:val="center"/>
                </w:tcPr>
                <w:p w14:paraId="35E4D24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7" w:type="dxa"/>
                  <w:tcBorders>
                    <w:tl2br w:val="nil"/>
                    <w:tr2bl w:val="nil"/>
                  </w:tcBorders>
                  <w:vAlign w:val="center"/>
                </w:tcPr>
                <w:p w14:paraId="138EF30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kern w:val="2"/>
                      <w:sz w:val="21"/>
                      <w:szCs w:val="21"/>
                      <w:highlight w:val="none"/>
                    </w:rPr>
                    <w:t>1.8</w:t>
                  </w:r>
                </w:p>
              </w:tc>
              <w:tc>
                <w:tcPr>
                  <w:tcW w:w="1742" w:type="dxa"/>
                  <w:tcBorders>
                    <w:tl2br w:val="nil"/>
                    <w:tr2bl w:val="nil"/>
                  </w:tcBorders>
                  <w:vAlign w:val="center"/>
                </w:tcPr>
                <w:p w14:paraId="3AD8E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城镇环卫部门统一清运</w:t>
                  </w:r>
                </w:p>
              </w:tc>
            </w:tr>
            <w:tr w14:paraId="23EA9D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restart"/>
                  <w:tcBorders>
                    <w:tl2br w:val="nil"/>
                    <w:tr2bl w:val="nil"/>
                  </w:tcBorders>
                  <w:vAlign w:val="center"/>
                </w:tcPr>
                <w:p w14:paraId="573004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w:t>
                  </w:r>
                </w:p>
                <w:p w14:paraId="730873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固体</w:t>
                  </w:r>
                </w:p>
                <w:p w14:paraId="61E17E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废物</w:t>
                  </w:r>
                </w:p>
              </w:tc>
              <w:tc>
                <w:tcPr>
                  <w:tcW w:w="723" w:type="dxa"/>
                  <w:tcBorders>
                    <w:tl2br w:val="nil"/>
                    <w:tr2bl w:val="nil"/>
                  </w:tcBorders>
                  <w:vAlign w:val="center"/>
                </w:tcPr>
                <w:p w14:paraId="48CE56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危险废</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物</w:t>
                  </w:r>
                </w:p>
              </w:tc>
              <w:tc>
                <w:tcPr>
                  <w:tcW w:w="974" w:type="dxa"/>
                  <w:tcBorders>
                    <w:tl2br w:val="nil"/>
                    <w:tr2bl w:val="nil"/>
                  </w:tcBorders>
                  <w:vAlign w:val="center"/>
                </w:tcPr>
                <w:p w14:paraId="69B0A14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废活性炭</w:t>
                  </w:r>
                </w:p>
              </w:tc>
              <w:tc>
                <w:tcPr>
                  <w:tcW w:w="972" w:type="dxa"/>
                  <w:tcBorders>
                    <w:tl2br w:val="nil"/>
                    <w:tr2bl w:val="nil"/>
                  </w:tcBorders>
                  <w:vAlign w:val="center"/>
                </w:tcPr>
                <w:p w14:paraId="49B50F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废气处理</w:t>
                  </w:r>
                </w:p>
              </w:tc>
              <w:tc>
                <w:tcPr>
                  <w:tcW w:w="856" w:type="dxa"/>
                  <w:tcBorders>
                    <w:tl2br w:val="nil"/>
                    <w:tr2bl w:val="nil"/>
                  </w:tcBorders>
                  <w:vAlign w:val="center"/>
                </w:tcPr>
                <w:p w14:paraId="11D5655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HW49</w:t>
                  </w:r>
                </w:p>
              </w:tc>
              <w:tc>
                <w:tcPr>
                  <w:tcW w:w="968" w:type="dxa"/>
                  <w:tcBorders>
                    <w:tl2br w:val="nil"/>
                    <w:tr2bl w:val="nil"/>
                  </w:tcBorders>
                  <w:vAlign w:val="center"/>
                </w:tcPr>
                <w:p w14:paraId="779B870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袋装</w:t>
                  </w:r>
                </w:p>
              </w:tc>
              <w:tc>
                <w:tcPr>
                  <w:tcW w:w="968" w:type="dxa"/>
                  <w:tcBorders>
                    <w:tl2br w:val="nil"/>
                    <w:tr2bl w:val="nil"/>
                  </w:tcBorders>
                  <w:vAlign w:val="center"/>
                </w:tcPr>
                <w:p w14:paraId="229994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危废暂存间10m</w:t>
                  </w:r>
                  <w:r>
                    <w:rPr>
                      <w:rFonts w:hint="eastAsia"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2</w:t>
                  </w:r>
                </w:p>
              </w:tc>
              <w:tc>
                <w:tcPr>
                  <w:tcW w:w="967" w:type="dxa"/>
                  <w:tcBorders>
                    <w:tl2br w:val="nil"/>
                    <w:tr2bl w:val="nil"/>
                  </w:tcBorders>
                  <w:vAlign w:val="center"/>
                </w:tcPr>
                <w:p w14:paraId="71DA448D">
                  <w:pPr>
                    <w:pStyle w:val="54"/>
                    <w:widowControl w:val="0"/>
                    <w:adjustRightInd w:val="0"/>
                    <w:snapToGrid w:val="0"/>
                    <w:jc w:val="center"/>
                    <w:rPr>
                      <w:rFonts w:hint="default" w:ascii="Times New Roman" w:hAnsi="Times New Roman" w:eastAsia="微软雅黑"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auto"/>
                      <w:szCs w:val="21"/>
                    </w:rPr>
                    <w:t>0.</w:t>
                  </w:r>
                  <w:r>
                    <w:rPr>
                      <w:rFonts w:hint="eastAsia" w:ascii="Times New Roman" w:hAnsi="Times New Roman" w:cs="Times New Roman"/>
                      <w:bCs/>
                      <w:color w:val="auto"/>
                      <w:szCs w:val="21"/>
                      <w:lang w:val="en-US" w:eastAsia="zh-CN"/>
                    </w:rPr>
                    <w:t>01</w:t>
                  </w:r>
                </w:p>
              </w:tc>
              <w:tc>
                <w:tcPr>
                  <w:tcW w:w="1742" w:type="dxa"/>
                  <w:tcBorders>
                    <w:tl2br w:val="nil"/>
                    <w:tr2bl w:val="nil"/>
                  </w:tcBorders>
                  <w:vAlign w:val="center"/>
                </w:tcPr>
                <w:p w14:paraId="224570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厂区设危废暂存间，定期由资质单位处理处置</w:t>
                  </w:r>
                </w:p>
              </w:tc>
            </w:tr>
            <w:tr w14:paraId="44FFF4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136361A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restart"/>
                  <w:tcBorders>
                    <w:tl2br w:val="nil"/>
                    <w:tr2bl w:val="nil"/>
                  </w:tcBorders>
                  <w:vAlign w:val="center"/>
                </w:tcPr>
                <w:p w14:paraId="7D9E20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一般固废</w:t>
                  </w:r>
                </w:p>
              </w:tc>
              <w:tc>
                <w:tcPr>
                  <w:tcW w:w="974" w:type="dxa"/>
                  <w:tcBorders>
                    <w:tl2br w:val="nil"/>
                    <w:tr2bl w:val="nil"/>
                  </w:tcBorders>
                  <w:shd w:val="clear" w:color="auto" w:fill="auto"/>
                  <w:vAlign w:val="center"/>
                </w:tcPr>
                <w:p w14:paraId="33560C86">
                  <w:pPr>
                    <w:pStyle w:val="54"/>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废包装材料</w:t>
                  </w:r>
                </w:p>
              </w:tc>
              <w:tc>
                <w:tcPr>
                  <w:tcW w:w="972" w:type="dxa"/>
                  <w:tcBorders>
                    <w:tl2br w:val="nil"/>
                    <w:tr2bl w:val="nil"/>
                  </w:tcBorders>
                  <w:vAlign w:val="center"/>
                </w:tcPr>
                <w:p w14:paraId="08481A4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原料使用</w:t>
                  </w:r>
                </w:p>
              </w:tc>
              <w:tc>
                <w:tcPr>
                  <w:tcW w:w="856" w:type="dxa"/>
                  <w:tcBorders>
                    <w:tl2br w:val="nil"/>
                    <w:tr2bl w:val="nil"/>
                  </w:tcBorders>
                  <w:vAlign w:val="center"/>
                </w:tcPr>
                <w:p w14:paraId="2EB03F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D156B1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restart"/>
                  <w:tcBorders>
                    <w:tl2br w:val="nil"/>
                    <w:tr2bl w:val="nil"/>
                  </w:tcBorders>
                  <w:vAlign w:val="center"/>
                </w:tcPr>
                <w:p w14:paraId="12DB60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存于一般固废暂存区</w:t>
                  </w:r>
                </w:p>
              </w:tc>
              <w:tc>
                <w:tcPr>
                  <w:tcW w:w="967" w:type="dxa"/>
                  <w:tcBorders>
                    <w:bottom w:val="single" w:color="000000" w:sz="4" w:space="0"/>
                    <w:tl2br w:val="nil"/>
                    <w:tr2bl w:val="nil"/>
                  </w:tcBorders>
                  <w:vAlign w:val="center"/>
                </w:tcPr>
                <w:p w14:paraId="3FD516E1">
                  <w:pPr>
                    <w:pStyle w:val="54"/>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kern w:val="2"/>
                      <w:sz w:val="21"/>
                      <w:szCs w:val="21"/>
                      <w:highlight w:val="none"/>
                    </w:rPr>
                    <w:t>3.0</w:t>
                  </w:r>
                </w:p>
              </w:tc>
              <w:tc>
                <w:tcPr>
                  <w:tcW w:w="1742" w:type="dxa"/>
                  <w:tcBorders>
                    <w:bottom w:val="single" w:color="000000" w:sz="4" w:space="0"/>
                    <w:tl2br w:val="nil"/>
                    <w:tr2bl w:val="nil"/>
                  </w:tcBorders>
                  <w:shd w:val="clear" w:color="auto" w:fill="auto"/>
                  <w:vAlign w:val="center"/>
                </w:tcPr>
                <w:p w14:paraId="421398F4">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存于一般</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固废间暂存后，定期出售</w:t>
                  </w:r>
                </w:p>
              </w:tc>
            </w:tr>
            <w:tr w14:paraId="06CA92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310F19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2622F0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538326A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废离子交换树脂</w:t>
                  </w:r>
                </w:p>
              </w:tc>
              <w:tc>
                <w:tcPr>
                  <w:tcW w:w="972" w:type="dxa"/>
                  <w:tcBorders>
                    <w:tl2br w:val="nil"/>
                    <w:tr2bl w:val="nil"/>
                  </w:tcBorders>
                  <w:vAlign w:val="center"/>
                </w:tcPr>
                <w:p w14:paraId="37EDFA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纯水制备</w:t>
                  </w:r>
                </w:p>
              </w:tc>
              <w:tc>
                <w:tcPr>
                  <w:tcW w:w="856" w:type="dxa"/>
                  <w:tcBorders>
                    <w:tl2br w:val="nil"/>
                    <w:tr2bl w:val="nil"/>
                  </w:tcBorders>
                  <w:vAlign w:val="center"/>
                </w:tcPr>
                <w:p w14:paraId="3FAAB9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587835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7032B4F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top w:val="single" w:color="000000" w:sz="4" w:space="0"/>
                    <w:bottom w:val="single" w:color="auto" w:sz="4" w:space="0"/>
                    <w:tl2br w:val="nil"/>
                    <w:tr2bl w:val="nil"/>
                  </w:tcBorders>
                  <w:vAlign w:val="center"/>
                </w:tcPr>
                <w:p w14:paraId="1ABABA6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sz w:val="21"/>
                      <w:szCs w:val="21"/>
                      <w:highlight w:val="none"/>
                    </w:rPr>
                    <w:t>0.05</w:t>
                  </w:r>
                </w:p>
              </w:tc>
              <w:tc>
                <w:tcPr>
                  <w:tcW w:w="1742" w:type="dxa"/>
                  <w:tcBorders>
                    <w:top w:val="single" w:color="000000" w:sz="4" w:space="0"/>
                    <w:tl2br w:val="nil"/>
                    <w:tr2bl w:val="nil"/>
                  </w:tcBorders>
                  <w:shd w:val="clear" w:color="auto" w:fill="auto"/>
                  <w:vAlign w:val="center"/>
                </w:tcPr>
                <w:p w14:paraId="561BA5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存于一般固废暂存间后，定期由厂家回收</w:t>
                  </w:r>
                </w:p>
              </w:tc>
            </w:tr>
          </w:tbl>
          <w:p w14:paraId="16EB33BB">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28CF3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5975DC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770C2389">
            <w:pPr>
              <w:pStyle w:val="2"/>
              <w:rPr>
                <w:rFonts w:hint="default" w:ascii="Times New Roman" w:hAnsi="Times New Roman" w:cs="Times New Roman"/>
                <w:lang w:val="en-US" w:eastAsia="zh-CN"/>
              </w:rPr>
            </w:pPr>
          </w:p>
          <w:p w14:paraId="0F1B399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CDD963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7CD63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D71A2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734D80C">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0D2F59B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063D87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1CF0AF9">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3601144">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78D28D1">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314ECFF">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176B2B5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3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EB4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top"/>
          </w:tcPr>
          <w:p w14:paraId="66C7A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04CA4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1、环境影响报告表主要结论</w:t>
            </w:r>
          </w:p>
          <w:p w14:paraId="67DD6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22133"/>
            <w:bookmarkStart w:id="2" w:name="_Toc27259"/>
            <w:bookmarkStart w:id="3" w:name="_Toc5839"/>
            <w:bookmarkStart w:id="4"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本项目封口废气经集气装置收集后，通过1套“UV光催化+活性炭（碘值不低于800mg/g）吸附装置”处理，最终由一根15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本项目废气经处理后可达标排放。</w:t>
            </w:r>
          </w:p>
          <w:p w14:paraId="3DB8E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厂区调节池调节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，全厂废水一同通过厂区总排口经园区专用污水管网排入长垣市常源污水处理厂进一步处理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9452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768A2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在车间内设一个10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废包装材料</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经收集后定期外售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废离子交换树脂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和废UV灯管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经收集后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定期由厂家回收；设一个10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的危废暂存间，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废活性炭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暂存于危废暂存间，定期交由资质单位处置；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设垃圾桶集中收集，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生活垃圾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定期委托环卫部门进行处理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8C3A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1"/>
            <w:bookmarkEnd w:id="2"/>
            <w:bookmarkEnd w:id="3"/>
            <w:bookmarkEnd w:id="4"/>
          </w:p>
          <w:p w14:paraId="25228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(91410728MADDCJ3250)关于《河南仟钰食品科技有限公司年产1500吨豆制品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依据你公司及环评文件编制单位的承诺，我局原则同意你公司按照《环境影响报告表》所列项目的性质、规模、地点、采用的生产工艺和环境保护对策措施进行项目建设。</w:t>
            </w:r>
          </w:p>
          <w:p w14:paraId="62A4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p w14:paraId="3E23F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2A2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281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D32D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C39F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24BD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D67F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EE93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A2EF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15A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088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FF08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643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80E2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493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6AC1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eastAsia" w:ascii="Times New Roman" w:hAnsi="Times New Roman" w:cs="Times New Roman"/>
                <w:lang w:val="en-US" w:eastAsia="zh-CN"/>
              </w:rPr>
            </w:pPr>
          </w:p>
          <w:p w14:paraId="7EB4E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eastAsia" w:ascii="Times New Roman" w:hAnsi="Times New Roman" w:cs="Times New Roman"/>
                <w:lang w:val="en-US" w:eastAsia="zh-CN"/>
              </w:rPr>
            </w:pPr>
          </w:p>
          <w:p w14:paraId="1606A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eastAsia" w:ascii="Times New Roman" w:hAnsi="Times New Roman" w:cs="Times New Roman"/>
                <w:lang w:val="en-US" w:eastAsia="zh-CN"/>
              </w:rPr>
            </w:pPr>
          </w:p>
          <w:p w14:paraId="19ACA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eastAsia" w:ascii="Times New Roman" w:hAnsi="Times New Roman" w:cs="Times New Roman"/>
                <w:lang w:val="en-US" w:eastAsia="zh-CN"/>
              </w:rPr>
            </w:pPr>
          </w:p>
          <w:p w14:paraId="094BE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eastAsia" w:ascii="Times New Roman" w:hAnsi="Times New Roman" w:cs="Times New Roman"/>
                <w:lang w:val="en-US" w:eastAsia="zh-CN"/>
              </w:rPr>
            </w:pPr>
          </w:p>
          <w:p w14:paraId="6FD0B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eastAsia" w:ascii="Times New Roman" w:hAnsi="Times New Roman" w:eastAsia="微软雅黑" w:cs="Times New Roman"/>
                <w:lang w:val="en-US" w:eastAsia="zh-CN"/>
              </w:rPr>
            </w:pPr>
          </w:p>
        </w:tc>
      </w:tr>
    </w:tbl>
    <w:p w14:paraId="3F5E6D8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30"/>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BD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3" w:hRule="atLeast"/>
        </w:trPr>
        <w:tc>
          <w:tcPr>
            <w:tcW w:w="8946" w:type="dxa"/>
            <w:vAlign w:val="top"/>
          </w:tcPr>
          <w:p w14:paraId="6CB3F1E3">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验收监测质量保证及质量控制：</w:t>
            </w:r>
          </w:p>
          <w:p w14:paraId="040EDA04">
            <w:pPr>
              <w:pStyle w:val="4"/>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5EEE2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60DBF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63992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052DB46B">
            <w:pPr>
              <w:pStyle w:val="4"/>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2、气体监测分析过程中的质量保证和质量控制</w:t>
            </w:r>
          </w:p>
          <w:p w14:paraId="3CECC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14:paraId="1DCDA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14:paraId="2644B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（3）监测数据严格执行三级审核制度。</w:t>
            </w:r>
          </w:p>
          <w:p w14:paraId="495DA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rightChars="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3、噪声监测分析过程中的质量保证和质量控制</w:t>
            </w:r>
          </w:p>
          <w:p w14:paraId="5D176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eastAsiaTheme="minorEastAsia"/>
                <w:sz w:val="24"/>
                <w:szCs w:val="24"/>
                <w:lang w:val="en-US" w:eastAsia="zh-CN"/>
              </w:rPr>
              <w:t>声级计使用前后进行校准，其示值偏差符合监测技术规范要求（ΔL≤0.5dB(A)）。噪声检测在无雨、无雪、风速小于5m/s的气象条件下进行，测量时传声器加戴防风罩。</w:t>
            </w:r>
          </w:p>
          <w:p w14:paraId="3D250CC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 xml:space="preserve"> 监测分析方法一览表</w:t>
            </w:r>
          </w:p>
          <w:tbl>
            <w:tblPr>
              <w:tblStyle w:val="30"/>
              <w:tblW w:w="873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048"/>
              <w:gridCol w:w="3981"/>
              <w:gridCol w:w="1701"/>
              <w:gridCol w:w="1386"/>
            </w:tblGrid>
            <w:tr w14:paraId="31AFE62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614" w:type="dxa"/>
                  <w:vAlign w:val="center"/>
                </w:tcPr>
                <w:p w14:paraId="72567D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048" w:type="dxa"/>
                  <w:vAlign w:val="center"/>
                </w:tcPr>
                <w:p w14:paraId="71A1CE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检测项目</w:t>
                  </w:r>
                </w:p>
              </w:tc>
              <w:tc>
                <w:tcPr>
                  <w:tcW w:w="3981" w:type="dxa"/>
                  <w:vAlign w:val="center"/>
                </w:tcPr>
                <w:p w14:paraId="613DE5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检测分析方法</w:t>
                  </w:r>
                </w:p>
              </w:tc>
              <w:tc>
                <w:tcPr>
                  <w:tcW w:w="1701" w:type="dxa"/>
                  <w:vAlign w:val="center"/>
                </w:tcPr>
                <w:p w14:paraId="251233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检测依据</w:t>
                  </w:r>
                </w:p>
              </w:tc>
              <w:tc>
                <w:tcPr>
                  <w:tcW w:w="1386" w:type="dxa"/>
                  <w:vAlign w:val="center"/>
                </w:tcPr>
                <w:p w14:paraId="4249E6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检出限</w:t>
                  </w:r>
                </w:p>
              </w:tc>
            </w:tr>
            <w:tr w14:paraId="2684022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81" w:hRule="atLeast"/>
                <w:jc w:val="center"/>
              </w:trPr>
              <w:tc>
                <w:tcPr>
                  <w:tcW w:w="614" w:type="dxa"/>
                  <w:vMerge w:val="restart"/>
                  <w:vAlign w:val="center"/>
                </w:tcPr>
                <w:p w14:paraId="2CBCE90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048" w:type="dxa"/>
                  <w:vMerge w:val="restart"/>
                  <w:shd w:val="clear" w:color="auto" w:fill="auto"/>
                  <w:vAlign w:val="center"/>
                </w:tcPr>
                <w:p w14:paraId="0B7F2538">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w:t>
                  </w:r>
                </w:p>
                <w:p w14:paraId="3742F649">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eastAsia="zh-CN"/>
                    </w:rPr>
                    <w:t>总烃</w:t>
                  </w:r>
                </w:p>
              </w:tc>
              <w:tc>
                <w:tcPr>
                  <w:tcW w:w="3981" w:type="dxa"/>
                  <w:shd w:val="clear" w:color="auto" w:fill="auto"/>
                  <w:vAlign w:val="center"/>
                </w:tcPr>
                <w:p w14:paraId="7A8F3DA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固定污染源废气 总烃、甲烷和非甲烷总烃的测定    气相色谱法</w:t>
                  </w:r>
                </w:p>
              </w:tc>
              <w:tc>
                <w:tcPr>
                  <w:tcW w:w="1701" w:type="dxa"/>
                  <w:shd w:val="clear" w:color="auto" w:fill="FFFFFF"/>
                  <w:vAlign w:val="center"/>
                </w:tcPr>
                <w:p w14:paraId="48E1DE76">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HJ/T 38-2017</w:t>
                  </w:r>
                </w:p>
              </w:tc>
              <w:tc>
                <w:tcPr>
                  <w:tcW w:w="1386" w:type="dxa"/>
                  <w:shd w:val="clear" w:color="auto" w:fill="FFFFFF"/>
                  <w:vAlign w:val="center"/>
                </w:tcPr>
                <w:p w14:paraId="20C20B8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0.07</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 xml:space="preserve"> </w:t>
                  </w:r>
                </w:p>
              </w:tc>
            </w:tr>
            <w:tr w14:paraId="10A1E6D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Merge w:val="continue"/>
                  <w:vAlign w:val="center"/>
                </w:tcPr>
                <w:p w14:paraId="6B9D6B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vMerge w:val="continue"/>
                  <w:shd w:val="clear" w:color="auto" w:fill="auto"/>
                  <w:vAlign w:val="center"/>
                </w:tcPr>
                <w:p w14:paraId="6E51FFE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p>
              </w:tc>
              <w:tc>
                <w:tcPr>
                  <w:tcW w:w="3981" w:type="dxa"/>
                  <w:shd w:val="clear" w:color="auto" w:fill="auto"/>
                  <w:vAlign w:val="center"/>
                </w:tcPr>
                <w:p w14:paraId="36F51E8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环境空气 总烃、甲烷和非甲烷总烃的测定    直接进样-气相色谱法</w:t>
                  </w:r>
                </w:p>
              </w:tc>
              <w:tc>
                <w:tcPr>
                  <w:tcW w:w="1701" w:type="dxa"/>
                  <w:shd w:val="clear" w:color="auto" w:fill="FFFFFF"/>
                  <w:vAlign w:val="center"/>
                </w:tcPr>
                <w:p w14:paraId="51AC793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eastAsia="zh-CN"/>
                    </w:rPr>
                    <w:t>HJ 604-201</w:t>
                  </w:r>
                  <w:r>
                    <w:rPr>
                      <w:rFonts w:hint="default" w:ascii="Times New Roman" w:hAnsi="Times New Roman" w:cs="Times New Roman"/>
                      <w:color w:val="auto"/>
                      <w:sz w:val="21"/>
                      <w:szCs w:val="21"/>
                      <w:lang w:val="en-US" w:eastAsia="zh-CN"/>
                    </w:rPr>
                    <w:t>7</w:t>
                  </w:r>
                </w:p>
              </w:tc>
              <w:tc>
                <w:tcPr>
                  <w:tcW w:w="1386" w:type="dxa"/>
                  <w:shd w:val="clear" w:color="auto" w:fill="FFFFFF"/>
                  <w:vAlign w:val="center"/>
                </w:tcPr>
                <w:p w14:paraId="4B02C64F">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sz w:val="21"/>
                      <w:szCs w:val="21"/>
                      <w:lang w:val="en-US" w:eastAsia="zh-CN"/>
                    </w:rPr>
                    <w:t xml:space="preserve">0.07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14:paraId="16A32A6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Align w:val="center"/>
                </w:tcPr>
                <w:p w14:paraId="755CBBE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048" w:type="dxa"/>
                  <w:shd w:val="clear" w:color="auto" w:fill="auto"/>
                  <w:vAlign w:val="center"/>
                </w:tcPr>
                <w:p w14:paraId="72FD283E">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化学</w:t>
                  </w:r>
                </w:p>
                <w:p w14:paraId="48AD1DF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需氧量</w:t>
                  </w:r>
                </w:p>
              </w:tc>
              <w:tc>
                <w:tcPr>
                  <w:tcW w:w="3981" w:type="dxa"/>
                  <w:shd w:val="clear" w:color="auto" w:fill="auto"/>
                  <w:vAlign w:val="center"/>
                </w:tcPr>
                <w:p w14:paraId="405533E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水质 化学需氧量的测定 重铬酸钾法</w:t>
                  </w:r>
                </w:p>
              </w:tc>
              <w:tc>
                <w:tcPr>
                  <w:tcW w:w="1701" w:type="dxa"/>
                  <w:shd w:val="clear" w:color="auto" w:fill="FFFFFF"/>
                  <w:vAlign w:val="center"/>
                </w:tcPr>
                <w:p w14:paraId="11B655A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828-2017</w:t>
                  </w:r>
                </w:p>
              </w:tc>
              <w:tc>
                <w:tcPr>
                  <w:tcW w:w="1386" w:type="dxa"/>
                  <w:shd w:val="clear" w:color="auto" w:fill="FFFFFF"/>
                  <w:vAlign w:val="center"/>
                </w:tcPr>
                <w:p w14:paraId="238C48DA">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44FEB09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50B6C5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048" w:type="dxa"/>
                  <w:shd w:val="clear" w:color="auto" w:fill="auto"/>
                  <w:vAlign w:val="center"/>
                </w:tcPr>
                <w:p w14:paraId="56C44127">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五日生化需氧量</w:t>
                  </w:r>
                </w:p>
              </w:tc>
              <w:tc>
                <w:tcPr>
                  <w:tcW w:w="3981" w:type="dxa"/>
                  <w:shd w:val="clear" w:color="auto" w:fill="auto"/>
                  <w:vAlign w:val="center"/>
                </w:tcPr>
                <w:p w14:paraId="09E3A20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水质 五日生化需氧量（BOD</w:t>
                  </w:r>
                  <w:r>
                    <w:rPr>
                      <w:rFonts w:hint="default" w:ascii="Times New Roman" w:hAnsi="Times New Roman" w:cs="Times New Roman" w:eastAsiaTheme="minorEastAsia"/>
                      <w:color w:val="auto"/>
                      <w:sz w:val="21"/>
                      <w:szCs w:val="21"/>
                      <w:vertAlign w:val="subscript"/>
                      <w:lang w:val="en-US" w:eastAsia="zh-CN"/>
                    </w:rPr>
                    <w:t>5</w:t>
                  </w:r>
                  <w:r>
                    <w:rPr>
                      <w:rFonts w:hint="default" w:ascii="Times New Roman" w:hAnsi="Times New Roman" w:cs="Times New Roman" w:eastAsiaTheme="minorEastAsia"/>
                      <w:color w:val="auto"/>
                      <w:sz w:val="21"/>
                      <w:szCs w:val="21"/>
                      <w:vertAlign w:val="baseline"/>
                      <w:lang w:val="en-US" w:eastAsia="zh-CN"/>
                    </w:rPr>
                    <w:t>）的测定</w:t>
                  </w:r>
                </w:p>
                <w:p w14:paraId="29525AB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稀释与接种法</w:t>
                  </w:r>
                </w:p>
              </w:tc>
              <w:tc>
                <w:tcPr>
                  <w:tcW w:w="1701" w:type="dxa"/>
                  <w:shd w:val="clear" w:color="auto" w:fill="FFFFFF"/>
                  <w:vAlign w:val="center"/>
                </w:tcPr>
                <w:p w14:paraId="1E9A885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505-2009</w:t>
                  </w:r>
                </w:p>
              </w:tc>
              <w:tc>
                <w:tcPr>
                  <w:tcW w:w="1386" w:type="dxa"/>
                  <w:shd w:val="clear" w:color="auto" w:fill="FFFFFF"/>
                  <w:vAlign w:val="center"/>
                </w:tcPr>
                <w:p w14:paraId="0075FCF9">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0.5 mg/L</w:t>
                  </w:r>
                </w:p>
              </w:tc>
            </w:tr>
            <w:tr w14:paraId="0C86B3C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614" w:type="dxa"/>
                  <w:vAlign w:val="center"/>
                </w:tcPr>
                <w:p w14:paraId="03D3E5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048" w:type="dxa"/>
                  <w:shd w:val="clear" w:color="auto" w:fill="auto"/>
                  <w:vAlign w:val="center"/>
                </w:tcPr>
                <w:p w14:paraId="02EDCA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悬浮物</w:t>
                  </w:r>
                </w:p>
              </w:tc>
              <w:tc>
                <w:tcPr>
                  <w:tcW w:w="3981" w:type="dxa"/>
                  <w:shd w:val="clear" w:color="auto" w:fill="auto"/>
                  <w:vAlign w:val="center"/>
                </w:tcPr>
                <w:p w14:paraId="6A5F189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悬浮物的测定 重量法</w:t>
                  </w:r>
                </w:p>
              </w:tc>
              <w:tc>
                <w:tcPr>
                  <w:tcW w:w="1701" w:type="dxa"/>
                  <w:shd w:val="clear" w:color="auto" w:fill="FFFFFF"/>
                  <w:vAlign w:val="center"/>
                </w:tcPr>
                <w:p w14:paraId="1D55C4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GB/T11901-1989</w:t>
                  </w:r>
                </w:p>
              </w:tc>
              <w:tc>
                <w:tcPr>
                  <w:tcW w:w="1386" w:type="dxa"/>
                  <w:shd w:val="clear" w:color="auto" w:fill="FFFFFF"/>
                  <w:vAlign w:val="center"/>
                </w:tcPr>
                <w:p w14:paraId="180E1C28">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726AC3F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4" w:hRule="atLeast"/>
                <w:jc w:val="center"/>
              </w:trPr>
              <w:tc>
                <w:tcPr>
                  <w:tcW w:w="614" w:type="dxa"/>
                  <w:vAlign w:val="center"/>
                </w:tcPr>
                <w:p w14:paraId="72C163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1048" w:type="dxa"/>
                  <w:shd w:val="clear" w:color="auto" w:fill="auto"/>
                  <w:vAlign w:val="center"/>
                </w:tcPr>
                <w:p w14:paraId="18C33E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氨氮</w:t>
                  </w:r>
                </w:p>
              </w:tc>
              <w:tc>
                <w:tcPr>
                  <w:tcW w:w="3981" w:type="dxa"/>
                  <w:shd w:val="clear" w:color="auto" w:fill="auto"/>
                  <w:vAlign w:val="center"/>
                </w:tcPr>
                <w:p w14:paraId="2F53FA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氨氮的测定 纳氏试剂分光光度法</w:t>
                  </w:r>
                </w:p>
              </w:tc>
              <w:tc>
                <w:tcPr>
                  <w:tcW w:w="1701" w:type="dxa"/>
                  <w:shd w:val="clear" w:color="auto" w:fill="FFFFFF"/>
                  <w:vAlign w:val="center"/>
                </w:tcPr>
                <w:p w14:paraId="59A1D2C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HJ 535-2009</w:t>
                  </w:r>
                </w:p>
              </w:tc>
              <w:tc>
                <w:tcPr>
                  <w:tcW w:w="1386" w:type="dxa"/>
                  <w:shd w:val="clear" w:color="auto" w:fill="FFFFFF"/>
                  <w:vAlign w:val="center"/>
                </w:tcPr>
                <w:p w14:paraId="3FF6ED94">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0.025 mg/L</w:t>
                  </w:r>
                </w:p>
              </w:tc>
            </w:tr>
            <w:tr w14:paraId="5A88209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B2940B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1048" w:type="dxa"/>
                  <w:shd w:val="clear" w:color="auto" w:fill="auto"/>
                  <w:vAlign w:val="center"/>
                </w:tcPr>
                <w:p w14:paraId="18C73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总氮</w:t>
                  </w:r>
                </w:p>
              </w:tc>
              <w:tc>
                <w:tcPr>
                  <w:tcW w:w="3981" w:type="dxa"/>
                  <w:shd w:val="clear" w:color="auto" w:fill="auto"/>
                  <w:vAlign w:val="center"/>
                </w:tcPr>
                <w:p w14:paraId="409FD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水质 总</w:t>
                  </w:r>
                  <w:r>
                    <w:rPr>
                      <w:rFonts w:hint="default" w:ascii="Times New Roman" w:hAnsi="Times New Roman" w:cs="Times New Roman" w:eastAsiaTheme="minorEastAsia"/>
                      <w:color w:val="auto"/>
                      <w:sz w:val="21"/>
                      <w:szCs w:val="21"/>
                      <w:lang w:eastAsia="zh-CN"/>
                    </w:rPr>
                    <w:t>氮</w:t>
                  </w:r>
                  <w:r>
                    <w:rPr>
                      <w:rFonts w:hint="default" w:ascii="Times New Roman" w:hAnsi="Times New Roman" w:cs="Times New Roman" w:eastAsiaTheme="minorEastAsia"/>
                      <w:color w:val="auto"/>
                      <w:sz w:val="21"/>
                      <w:szCs w:val="21"/>
                    </w:rPr>
                    <w:t>的测定</w:t>
                  </w:r>
                  <w:r>
                    <w:rPr>
                      <w:rFonts w:hint="default" w:ascii="Times New Roman" w:hAnsi="Times New Roman" w:cs="Times New Roman" w:eastAsiaTheme="minorEastAsia"/>
                      <w:color w:val="auto"/>
                      <w:sz w:val="21"/>
                      <w:szCs w:val="21"/>
                      <w:lang w:val="en-US" w:eastAsia="zh-CN"/>
                    </w:rPr>
                    <w:t xml:space="preserve">  </w:t>
                  </w:r>
                </w:p>
                <w:p w14:paraId="2DB797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碱性过硫酸钾消解紫外分光光度法</w:t>
                  </w:r>
                </w:p>
              </w:tc>
              <w:tc>
                <w:tcPr>
                  <w:tcW w:w="1701" w:type="dxa"/>
                  <w:shd w:val="clear" w:color="auto" w:fill="FFFFFF"/>
                  <w:vAlign w:val="center"/>
                </w:tcPr>
                <w:p w14:paraId="6D75A7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HJ 636-2012</w:t>
                  </w:r>
                </w:p>
              </w:tc>
              <w:tc>
                <w:tcPr>
                  <w:tcW w:w="1386" w:type="dxa"/>
                  <w:shd w:val="clear" w:color="auto" w:fill="FFFFFF"/>
                  <w:vAlign w:val="center"/>
                </w:tcPr>
                <w:p w14:paraId="21C406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 xml:space="preserve">0.05 </w:t>
                  </w:r>
                  <w:r>
                    <w:rPr>
                      <w:rFonts w:hint="default" w:ascii="Times New Roman" w:hAnsi="Times New Roman" w:cs="Times New Roman" w:eastAsiaTheme="minorEastAsia"/>
                      <w:color w:val="auto"/>
                      <w:sz w:val="21"/>
                      <w:szCs w:val="21"/>
                    </w:rPr>
                    <w:t>mg/L</w:t>
                  </w:r>
                </w:p>
              </w:tc>
            </w:tr>
            <w:tr w14:paraId="5CE0CD0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3EBC7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w:t>
                  </w:r>
                </w:p>
              </w:tc>
              <w:tc>
                <w:tcPr>
                  <w:tcW w:w="1048" w:type="dxa"/>
                  <w:shd w:val="clear" w:color="auto" w:fill="auto"/>
                  <w:vAlign w:val="center"/>
                </w:tcPr>
                <w:p w14:paraId="3C5B5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总磷</w:t>
                  </w:r>
                </w:p>
              </w:tc>
              <w:tc>
                <w:tcPr>
                  <w:tcW w:w="3981" w:type="dxa"/>
                  <w:shd w:val="clear" w:color="auto" w:fill="auto"/>
                  <w:vAlign w:val="center"/>
                </w:tcPr>
                <w:p w14:paraId="6A08856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水质 总磷的测定</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钼酸铵分光光度法</w:t>
                  </w:r>
                </w:p>
              </w:tc>
              <w:tc>
                <w:tcPr>
                  <w:tcW w:w="1701" w:type="dxa"/>
                  <w:shd w:val="clear" w:color="auto" w:fill="FFFFFF"/>
                  <w:vAlign w:val="center"/>
                </w:tcPr>
                <w:p w14:paraId="7991EFE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GB/T 11893-1989</w:t>
                  </w:r>
                </w:p>
              </w:tc>
              <w:tc>
                <w:tcPr>
                  <w:tcW w:w="1386" w:type="dxa"/>
                  <w:shd w:val="clear" w:color="auto" w:fill="FFFFFF"/>
                  <w:vAlign w:val="center"/>
                </w:tcPr>
                <w:p w14:paraId="3F85F1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0.01 mg/L</w:t>
                  </w:r>
                </w:p>
              </w:tc>
            </w:tr>
            <w:tr w14:paraId="754B48B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614" w:type="dxa"/>
                  <w:vAlign w:val="center"/>
                </w:tcPr>
                <w:p w14:paraId="2EE262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p>
              </w:tc>
              <w:tc>
                <w:tcPr>
                  <w:tcW w:w="1048" w:type="dxa"/>
                  <w:shd w:val="clear" w:color="auto" w:fill="auto"/>
                  <w:vAlign w:val="center"/>
                </w:tcPr>
                <w:p w14:paraId="79934090">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噪</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声</w:t>
                  </w:r>
                </w:p>
              </w:tc>
              <w:tc>
                <w:tcPr>
                  <w:tcW w:w="3981" w:type="dxa"/>
                  <w:shd w:val="clear" w:color="auto" w:fill="auto"/>
                  <w:vAlign w:val="center"/>
                </w:tcPr>
                <w:p w14:paraId="4F32CAA4">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w:t>
                  </w:r>
                </w:p>
              </w:tc>
              <w:tc>
                <w:tcPr>
                  <w:tcW w:w="1701" w:type="dxa"/>
                  <w:shd w:val="clear" w:color="auto" w:fill="FFFFFF"/>
                  <w:vAlign w:val="center"/>
                </w:tcPr>
                <w:p w14:paraId="3912C457">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sz w:val="21"/>
                      <w:szCs w:val="21"/>
                    </w:rPr>
                    <w:t>GB 12348-2008</w:t>
                  </w:r>
                </w:p>
              </w:tc>
              <w:tc>
                <w:tcPr>
                  <w:tcW w:w="1386" w:type="dxa"/>
                  <w:shd w:val="clear" w:color="auto" w:fill="FFFFFF"/>
                  <w:vAlign w:val="center"/>
                </w:tcPr>
                <w:p w14:paraId="5A8AF23C">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28 dB(A)</w:t>
                  </w:r>
                </w:p>
              </w:tc>
            </w:tr>
          </w:tbl>
          <w:p w14:paraId="11F02DCB">
            <w:pPr>
              <w:keepNext w:val="0"/>
              <w:keepLines w:val="0"/>
              <w:pageBreakBefore w:val="0"/>
              <w:widowControl w:val="0"/>
              <w:kinsoku/>
              <w:wordWrap/>
              <w:overflowPunct/>
              <w:topLinePunct w:val="0"/>
              <w:autoSpaceDE/>
              <w:autoSpaceDN/>
              <w:bidi w:val="0"/>
              <w:adjustRightInd/>
              <w:snapToGrid/>
              <w:spacing w:after="0" w:line="520" w:lineRule="exact"/>
              <w:ind w:right="0" w:rightChars="0"/>
              <w:jc w:val="left"/>
              <w:textAlignment w:val="auto"/>
              <w:outlineLvl w:val="9"/>
              <w:rPr>
                <w:rFonts w:hint="default" w:ascii="Times New Roman" w:hAnsi="Times New Roman" w:cs="Times New Roman"/>
              </w:rPr>
            </w:pPr>
          </w:p>
          <w:p w14:paraId="532540C6">
            <w:pPr>
              <w:pStyle w:val="2"/>
              <w:rPr>
                <w:rFonts w:hint="default" w:ascii="Times New Roman" w:hAnsi="Times New Roman" w:cs="Times New Roman"/>
              </w:rPr>
            </w:pPr>
          </w:p>
          <w:p w14:paraId="64B16184">
            <w:pPr>
              <w:pStyle w:val="2"/>
              <w:rPr>
                <w:rFonts w:hint="eastAsia" w:ascii="Times New Roman" w:hAnsi="Times New Roman" w:cs="Times New Roman"/>
                <w:lang w:eastAsia="zh-CN"/>
              </w:rPr>
            </w:pPr>
          </w:p>
          <w:p w14:paraId="3FA8B67B">
            <w:pPr>
              <w:pStyle w:val="2"/>
              <w:rPr>
                <w:rFonts w:hint="eastAsia" w:ascii="Times New Roman" w:hAnsi="Times New Roman" w:cs="Times New Roman"/>
                <w:lang w:eastAsia="zh-CN"/>
              </w:rPr>
            </w:pPr>
          </w:p>
          <w:p w14:paraId="40BA1089">
            <w:pPr>
              <w:pStyle w:val="2"/>
              <w:rPr>
                <w:rFonts w:hint="eastAsia" w:ascii="Times New Roman" w:hAnsi="Times New Roman" w:cs="Times New Roman"/>
                <w:lang w:eastAsia="zh-CN"/>
              </w:rPr>
            </w:pPr>
          </w:p>
          <w:p w14:paraId="0EBDAB3F">
            <w:pPr>
              <w:pStyle w:val="2"/>
              <w:rPr>
                <w:rFonts w:hint="eastAsia" w:ascii="Times New Roman" w:hAnsi="Times New Roman" w:cs="Times New Roman"/>
                <w:lang w:eastAsia="zh-CN"/>
              </w:rPr>
            </w:pPr>
          </w:p>
          <w:p w14:paraId="29BDBF29">
            <w:pPr>
              <w:pStyle w:val="2"/>
              <w:rPr>
                <w:rFonts w:hint="eastAsia" w:ascii="Times New Roman" w:hAnsi="Times New Roman" w:cs="Times New Roman"/>
                <w:lang w:eastAsia="zh-CN"/>
              </w:rPr>
            </w:pPr>
          </w:p>
          <w:p w14:paraId="09FB725F">
            <w:pPr>
              <w:pStyle w:val="2"/>
              <w:rPr>
                <w:rFonts w:hint="eastAsia" w:ascii="Times New Roman" w:hAnsi="Times New Roman" w:cs="Times New Roman"/>
                <w:lang w:eastAsia="zh-CN"/>
              </w:rPr>
            </w:pPr>
          </w:p>
          <w:p w14:paraId="704EAA4A">
            <w:pPr>
              <w:pStyle w:val="2"/>
              <w:rPr>
                <w:rFonts w:hint="eastAsia" w:ascii="Times New Roman" w:hAnsi="Times New Roman" w:cs="Times New Roman"/>
                <w:lang w:eastAsia="zh-CN"/>
              </w:rPr>
            </w:pPr>
          </w:p>
          <w:p w14:paraId="58EE0C22">
            <w:pPr>
              <w:pStyle w:val="2"/>
              <w:rPr>
                <w:rFonts w:hint="eastAsia" w:ascii="Times New Roman" w:hAnsi="Times New Roman" w:cs="Times New Roman"/>
                <w:lang w:eastAsia="zh-CN"/>
              </w:rPr>
            </w:pPr>
          </w:p>
          <w:p w14:paraId="5E0D2463">
            <w:pPr>
              <w:pStyle w:val="2"/>
              <w:rPr>
                <w:rFonts w:hint="eastAsia" w:ascii="Times New Roman" w:hAnsi="Times New Roman" w:cs="Times New Roman"/>
                <w:lang w:eastAsia="zh-CN"/>
              </w:rPr>
            </w:pPr>
          </w:p>
          <w:p w14:paraId="7015027B">
            <w:pPr>
              <w:pStyle w:val="2"/>
              <w:rPr>
                <w:rFonts w:hint="eastAsia" w:ascii="Times New Roman" w:hAnsi="Times New Roman" w:cs="Times New Roman"/>
                <w:lang w:eastAsia="zh-CN"/>
              </w:rPr>
            </w:pPr>
          </w:p>
          <w:p w14:paraId="2AF9F67D">
            <w:pPr>
              <w:pStyle w:val="2"/>
              <w:rPr>
                <w:rFonts w:hint="eastAsia" w:ascii="Times New Roman" w:hAnsi="Times New Roman" w:eastAsia="微软雅黑" w:cs="Times New Roman"/>
                <w:lang w:eastAsia="zh-CN"/>
              </w:rPr>
            </w:pPr>
          </w:p>
        </w:tc>
      </w:tr>
    </w:tbl>
    <w:p w14:paraId="06E04E59">
      <w:pPr>
        <w:spacing w:line="360" w:lineRule="auto"/>
        <w:rPr>
          <w:rFonts w:hint="default" w:ascii="Times New Roman" w:hAnsi="Times New Roman" w:cs="Times New Roman" w:eastAsiaTheme="minorEastAsia"/>
          <w:color w:val="000000"/>
          <w:sz w:val="21"/>
          <w:szCs w:val="21"/>
        </w:rPr>
        <w:sectPr>
          <w:footerReference r:id="rId5"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14:paraId="6E570961">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30"/>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655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1661F415">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14:paraId="478F1D1A">
            <w:pPr>
              <w:pStyle w:val="4"/>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废水</w:t>
            </w:r>
          </w:p>
          <w:p w14:paraId="2F3B7BA8">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水为生活废水。生活废水经化粪池处理排入长垣市第一污水处理厂，监测内容详见下表。</w:t>
            </w:r>
          </w:p>
          <w:p w14:paraId="5DE4355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3  </w:t>
            </w:r>
            <w:r>
              <w:rPr>
                <w:rFonts w:hint="default" w:ascii="Times New Roman" w:hAnsi="Times New Roman" w:cs="Times New Roman" w:eastAsiaTheme="minorEastAsia"/>
                <w:b/>
                <w:bCs/>
                <w:color w:val="auto"/>
                <w:kern w:val="2"/>
                <w:sz w:val="21"/>
                <w:szCs w:val="21"/>
                <w:lang w:val="en-US" w:eastAsia="zh-CN" w:bidi="ar-SA"/>
              </w:rPr>
              <w:t xml:space="preserve"> 废水监测内容一览表</w:t>
            </w:r>
          </w:p>
          <w:tbl>
            <w:tblPr>
              <w:tblStyle w:val="3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21"/>
              <w:gridCol w:w="1761"/>
              <w:gridCol w:w="1687"/>
              <w:gridCol w:w="2892"/>
            </w:tblGrid>
            <w:tr w14:paraId="0A46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shd w:val="clear" w:color="auto" w:fill="auto"/>
                  <w:vAlign w:val="center"/>
                </w:tcPr>
                <w:p w14:paraId="60606C68">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14:paraId="77E62DA2">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761" w:type="dxa"/>
                  <w:shd w:val="clear" w:color="auto" w:fill="auto"/>
                  <w:vAlign w:val="center"/>
                </w:tcPr>
                <w:p w14:paraId="769D5F24">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687" w:type="dxa"/>
                  <w:shd w:val="clear" w:color="auto" w:fill="auto"/>
                  <w:vAlign w:val="center"/>
                </w:tcPr>
                <w:p w14:paraId="34888788">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892" w:type="dxa"/>
                  <w:shd w:val="clear" w:color="auto" w:fill="auto"/>
                  <w:vAlign w:val="center"/>
                </w:tcPr>
                <w:p w14:paraId="36D23020">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5726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0" w:type="dxa"/>
                  <w:vAlign w:val="center"/>
                </w:tcPr>
                <w:p w14:paraId="4FF8CC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21" w:type="dxa"/>
                  <w:vAlign w:val="center"/>
                </w:tcPr>
                <w:p w14:paraId="4A0969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761" w:type="dxa"/>
                  <w:vAlign w:val="center"/>
                </w:tcPr>
                <w:p w14:paraId="3BE7D6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687" w:type="dxa"/>
                  <w:vAlign w:val="center"/>
                </w:tcPr>
                <w:p w14:paraId="184766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14:paraId="5F6D457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2892" w:type="dxa"/>
                  <w:vAlign w:val="center"/>
                </w:tcPr>
                <w:p w14:paraId="795A5C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满足长垣市常源污水处理厂收水标准</w:t>
                  </w:r>
                </w:p>
              </w:tc>
            </w:tr>
          </w:tbl>
          <w:p w14:paraId="141927E3">
            <w:pPr>
              <w:pStyle w:val="4"/>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1F22E29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本项目废气监测包括有组织废气监测和无组织废气，监测内容详见下表。</w:t>
            </w:r>
          </w:p>
          <w:p w14:paraId="7E502D1E">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4  </w:t>
            </w:r>
            <w:r>
              <w:rPr>
                <w:rFonts w:hint="default" w:ascii="Times New Roman" w:hAnsi="Times New Roman" w:cs="Times New Roman" w:eastAsiaTheme="minorEastAsia"/>
                <w:b/>
                <w:bCs/>
                <w:color w:val="auto"/>
                <w:kern w:val="2"/>
                <w:sz w:val="21"/>
                <w:szCs w:val="21"/>
                <w:lang w:val="en-US" w:eastAsia="zh-CN" w:bidi="ar-SA"/>
              </w:rPr>
              <w:t xml:space="preserve"> 废气检测内容一览表</w:t>
            </w:r>
          </w:p>
          <w:tbl>
            <w:tblPr>
              <w:tblStyle w:val="31"/>
              <w:tblW w:w="8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71"/>
              <w:gridCol w:w="1862"/>
              <w:gridCol w:w="1050"/>
              <w:gridCol w:w="1488"/>
              <w:gridCol w:w="2475"/>
            </w:tblGrid>
            <w:tr w14:paraId="146C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28" w:type="dxa"/>
                  <w:noWrap w:val="0"/>
                  <w:vAlign w:val="center"/>
                </w:tcPr>
                <w:p w14:paraId="7DD5FE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171" w:type="dxa"/>
                  <w:noWrap w:val="0"/>
                  <w:vAlign w:val="center"/>
                </w:tcPr>
                <w:p w14:paraId="21A807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1862" w:type="dxa"/>
                  <w:noWrap w:val="0"/>
                  <w:vAlign w:val="center"/>
                </w:tcPr>
                <w:p w14:paraId="30A9F2B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050" w:type="dxa"/>
                  <w:noWrap w:val="0"/>
                  <w:vAlign w:val="center"/>
                </w:tcPr>
                <w:p w14:paraId="435FFB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88" w:type="dxa"/>
                  <w:noWrap w:val="0"/>
                  <w:vAlign w:val="center"/>
                </w:tcPr>
                <w:p w14:paraId="7F395F1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475" w:type="dxa"/>
                  <w:noWrap w:val="0"/>
                  <w:vAlign w:val="center"/>
                </w:tcPr>
                <w:p w14:paraId="323EFB2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9C4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28" w:type="dxa"/>
                  <w:noWrap w:val="0"/>
                  <w:vAlign w:val="center"/>
                </w:tcPr>
                <w:p w14:paraId="5E98C9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有组织废气</w:t>
                  </w:r>
                </w:p>
              </w:tc>
              <w:tc>
                <w:tcPr>
                  <w:tcW w:w="1171" w:type="dxa"/>
                  <w:noWrap w:val="0"/>
                  <w:vAlign w:val="center"/>
                </w:tcPr>
                <w:p w14:paraId="7A900A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封口</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862" w:type="dxa"/>
                  <w:noWrap w:val="0"/>
                  <w:vAlign w:val="center"/>
                </w:tcPr>
                <w:p w14:paraId="26B819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二级</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15m排气筒（P1）</w:t>
                  </w:r>
                </w:p>
              </w:tc>
              <w:tc>
                <w:tcPr>
                  <w:tcW w:w="1050" w:type="dxa"/>
                  <w:noWrap w:val="0"/>
                  <w:vAlign w:val="center"/>
                </w:tcPr>
                <w:p w14:paraId="780DF2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488" w:type="dxa"/>
                  <w:noWrap w:val="0"/>
                  <w:vAlign w:val="center"/>
                </w:tcPr>
                <w:p w14:paraId="63D2F9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03E177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restart"/>
                  <w:noWrap w:val="0"/>
                  <w:vAlign w:val="center"/>
                </w:tcPr>
                <w:p w14:paraId="41A560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满足</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《关于全省开展工业企业挥发性有机物专项治理工作中排放建议值的通知》（豫环攻坚办[2017]162号）</w:t>
                  </w:r>
                </w:p>
              </w:tc>
            </w:tr>
            <w:tr w14:paraId="21A8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8" w:type="dxa"/>
                  <w:noWrap w:val="0"/>
                  <w:vAlign w:val="center"/>
                </w:tcPr>
                <w:p w14:paraId="33457D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171" w:type="dxa"/>
                  <w:noWrap w:val="0"/>
                  <w:vAlign w:val="center"/>
                </w:tcPr>
                <w:p w14:paraId="217789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862" w:type="dxa"/>
                  <w:noWrap w:val="0"/>
                  <w:vAlign w:val="center"/>
                </w:tcPr>
                <w:p w14:paraId="1EE4B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厂界外上风向设置一个点位、下风向设置3个点位</w:t>
                  </w:r>
                </w:p>
              </w:tc>
              <w:tc>
                <w:tcPr>
                  <w:tcW w:w="1050" w:type="dxa"/>
                  <w:noWrap w:val="0"/>
                  <w:vAlign w:val="center"/>
                </w:tcPr>
                <w:p w14:paraId="1C63EE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488" w:type="dxa"/>
                  <w:noWrap w:val="0"/>
                  <w:vAlign w:val="center"/>
                </w:tcPr>
                <w:p w14:paraId="0458E60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24055B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continue"/>
                  <w:noWrap w:val="0"/>
                  <w:vAlign w:val="center"/>
                </w:tcPr>
                <w:p w14:paraId="49BE2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p>
              </w:tc>
            </w:tr>
          </w:tbl>
          <w:p w14:paraId="59EF4706">
            <w:pPr>
              <w:pStyle w:val="4"/>
              <w:pageBreakBefore w:val="0"/>
              <w:widowControl/>
              <w:numPr>
                <w:ilvl w:val="0"/>
                <w:numId w:val="3"/>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p>
          <w:p w14:paraId="110DEA07">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eastAsia"/>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本项目厂界噪声监测内容见下表。</w:t>
            </w:r>
          </w:p>
          <w:p w14:paraId="240E85F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5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3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318"/>
              <w:gridCol w:w="1391"/>
              <w:gridCol w:w="2375"/>
              <w:gridCol w:w="2366"/>
            </w:tblGrid>
            <w:tr w14:paraId="47C8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14:paraId="2D6729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318" w:type="dxa"/>
                  <w:shd w:val="clear" w:color="auto" w:fill="auto"/>
                  <w:vAlign w:val="center"/>
                </w:tcPr>
                <w:p w14:paraId="31D638E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391" w:type="dxa"/>
                  <w:shd w:val="clear" w:color="auto" w:fill="auto"/>
                  <w:vAlign w:val="center"/>
                </w:tcPr>
                <w:p w14:paraId="2057780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2375" w:type="dxa"/>
                  <w:shd w:val="clear" w:color="auto" w:fill="auto"/>
                  <w:vAlign w:val="center"/>
                </w:tcPr>
                <w:p w14:paraId="38A8C4A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366" w:type="dxa"/>
                  <w:shd w:val="clear" w:color="auto" w:fill="auto"/>
                  <w:vAlign w:val="center"/>
                </w:tcPr>
                <w:p w14:paraId="4E6EE9D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399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vAlign w:val="center"/>
                </w:tcPr>
                <w:p w14:paraId="406683E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厂界噪声</w:t>
                  </w:r>
                </w:p>
              </w:tc>
              <w:tc>
                <w:tcPr>
                  <w:tcW w:w="1318" w:type="dxa"/>
                  <w:vAlign w:val="center"/>
                </w:tcPr>
                <w:p w14:paraId="58F4674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厂界四周</w:t>
                  </w:r>
                </w:p>
              </w:tc>
              <w:tc>
                <w:tcPr>
                  <w:tcW w:w="1391" w:type="dxa"/>
                  <w:vAlign w:val="center"/>
                </w:tcPr>
                <w:p w14:paraId="485495C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连续等效A声级</w:t>
                  </w:r>
                </w:p>
              </w:tc>
              <w:tc>
                <w:tcPr>
                  <w:tcW w:w="2375" w:type="dxa"/>
                  <w:vAlign w:val="center"/>
                </w:tcPr>
                <w:p w14:paraId="5D21316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连续监测2天</w:t>
                  </w:r>
                </w:p>
                <w:p w14:paraId="6BB739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每天昼夜各监测1次</w:t>
                  </w:r>
                </w:p>
              </w:tc>
              <w:tc>
                <w:tcPr>
                  <w:tcW w:w="2366" w:type="dxa"/>
                  <w:vAlign w:val="center"/>
                </w:tcPr>
                <w:p w14:paraId="3D749DD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《工业企业厂界环境噪声排放标准》（GB12348-2008）2类标准的要求（昼间60dB（A），夜间50dB（A））</w:t>
                  </w:r>
                </w:p>
              </w:tc>
            </w:tr>
          </w:tbl>
          <w:p w14:paraId="17978580">
            <w:pPr>
              <w:pStyle w:val="4"/>
              <w:pageBreakBefore w:val="0"/>
              <w:widowControl/>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p>
          <w:p w14:paraId="18221462">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766F9376">
            <w:pPr>
              <w:pStyle w:val="37"/>
              <w:pageBreakBefore w:val="0"/>
              <w:kinsoku/>
              <w:wordWrap/>
              <w:overflowPunct/>
              <w:topLinePunct w:val="0"/>
              <w:autoSpaceDE/>
              <w:autoSpaceDN/>
              <w:bidi w:val="0"/>
              <w:spacing w:line="520" w:lineRule="exact"/>
              <w:ind w:left="0" w:leftChars="0" w:firstLine="0" w:firstLineChars="0"/>
              <w:textAlignment w:val="auto"/>
              <w:rPr>
                <w:rFonts w:hint="default" w:ascii="Times New Roman" w:hAnsi="Times New Roman" w:eastAsia="仿宋_GB2312" w:cs="Times New Roman"/>
                <w:color w:val="FF0000"/>
                <w:szCs w:val="21"/>
              </w:rPr>
            </w:pPr>
          </w:p>
        </w:tc>
      </w:tr>
    </w:tbl>
    <w:p w14:paraId="2C85D791">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3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4367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46" w:type="dxa"/>
            <w:vAlign w:val="top"/>
          </w:tcPr>
          <w:p w14:paraId="3A092B9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14:paraId="46107DE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、验收监测期间该公司生产负荷在设计生产负荷的</w:t>
            </w:r>
            <w:r>
              <w:rPr>
                <w:rFonts w:hint="eastAsia" w:ascii="Times New Roman" w:hAnsi="Times New Roman" w:cs="Times New Roman" w:eastAsiaTheme="minorEastAsia"/>
                <w:color w:val="000000" w:themeColor="text1"/>
                <w:sz w:val="24"/>
                <w:szCs w:val="21"/>
                <w:lang w:val="en-US" w:eastAsia="zh-CN"/>
                <w14:textFill>
                  <w14:solidFill>
                    <w14:schemeClr w14:val="tx1"/>
                  </w14:solidFill>
                </w14:textFill>
              </w:rPr>
              <w:t>80</w:t>
            </w: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，满足验收监测工况的要求。</w:t>
            </w:r>
          </w:p>
          <w:p w14:paraId="04EA8615">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14:paraId="5B7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946" w:type="dxa"/>
            <w:vAlign w:val="top"/>
          </w:tcPr>
          <w:p w14:paraId="1A9DAD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14:paraId="20913C50">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p>
          <w:p w14:paraId="6401791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746B99D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6 </w:t>
            </w:r>
            <w:r>
              <w:rPr>
                <w:rFonts w:hint="default" w:ascii="Times New Roman" w:hAnsi="Times New Roman" w:cs="Times New Roman" w:eastAsiaTheme="minorEastAsia"/>
                <w:b/>
                <w:bCs/>
                <w:color w:val="auto"/>
                <w:kern w:val="2"/>
                <w:sz w:val="21"/>
                <w:szCs w:val="21"/>
                <w:lang w:val="en-US" w:eastAsia="zh-CN" w:bidi="ar-SA"/>
              </w:rPr>
              <w:t xml:space="preserve"> 废水总排放口废水监测结果一览表</w:t>
            </w:r>
          </w:p>
          <w:tbl>
            <w:tblPr>
              <w:tblStyle w:val="30"/>
              <w:tblW w:w="494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1"/>
              <w:gridCol w:w="1012"/>
              <w:gridCol w:w="534"/>
              <w:gridCol w:w="1015"/>
              <w:gridCol w:w="902"/>
              <w:gridCol w:w="902"/>
              <w:gridCol w:w="902"/>
              <w:gridCol w:w="999"/>
              <w:gridCol w:w="918"/>
              <w:gridCol w:w="793"/>
            </w:tblGrid>
            <w:tr w14:paraId="40FC2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72" w:type="pct"/>
                  <w:tcBorders>
                    <w:tl2br w:val="nil"/>
                    <w:tr2bl w:val="nil"/>
                  </w:tcBorders>
                  <w:shd w:val="clear" w:color="auto" w:fill="auto"/>
                  <w:vAlign w:val="center"/>
                </w:tcPr>
                <w:p w14:paraId="5CEA7D0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检测点位</w:t>
                  </w:r>
                </w:p>
              </w:tc>
              <w:tc>
                <w:tcPr>
                  <w:tcW w:w="587" w:type="pct"/>
                  <w:tcBorders>
                    <w:tl2br w:val="nil"/>
                    <w:tr2bl w:val="nil"/>
                  </w:tcBorders>
                  <w:shd w:val="clear" w:color="auto" w:fill="auto"/>
                  <w:vAlign w:val="center"/>
                </w:tcPr>
                <w:p w14:paraId="56BE8C1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采样日期</w:t>
                  </w:r>
                </w:p>
              </w:tc>
              <w:tc>
                <w:tcPr>
                  <w:tcW w:w="310" w:type="pct"/>
                  <w:tcBorders>
                    <w:tl2br w:val="nil"/>
                    <w:tr2bl w:val="nil"/>
                  </w:tcBorders>
                  <w:shd w:val="clear" w:color="auto" w:fill="auto"/>
                  <w:vAlign w:val="center"/>
                </w:tcPr>
                <w:p w14:paraId="17A4F68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测次</w:t>
                  </w:r>
                </w:p>
              </w:tc>
              <w:tc>
                <w:tcPr>
                  <w:tcW w:w="588" w:type="pct"/>
                  <w:tcBorders>
                    <w:tl2br w:val="nil"/>
                    <w:tr2bl w:val="nil"/>
                  </w:tcBorders>
                  <w:shd w:val="clear" w:color="auto" w:fill="auto"/>
                  <w:vAlign w:val="center"/>
                </w:tcPr>
                <w:p w14:paraId="2461076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五日生化需氧量</w:t>
                  </w:r>
                  <w:r>
                    <w:rPr>
                      <w:rFonts w:hint="default" w:ascii="Times New Roman" w:hAnsi="Times New Roman" w:eastAsia="宋体" w:cs="Times New Roman"/>
                      <w:b w:val="0"/>
                      <w:bCs w:val="0"/>
                      <w:sz w:val="21"/>
                      <w:szCs w:val="21"/>
                      <w:vertAlign w:val="baseline"/>
                      <w:lang w:val="en-US" w:eastAsia="zh-CN"/>
                    </w:rPr>
                    <w:t>（mg/L）</w:t>
                  </w:r>
                </w:p>
              </w:tc>
              <w:tc>
                <w:tcPr>
                  <w:tcW w:w="523" w:type="pct"/>
                  <w:tcBorders>
                    <w:tl2br w:val="nil"/>
                    <w:tr2bl w:val="nil"/>
                  </w:tcBorders>
                  <w:shd w:val="clear" w:color="auto" w:fill="auto"/>
                  <w:vAlign w:val="center"/>
                </w:tcPr>
                <w:p w14:paraId="064688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氨氮</w:t>
                  </w:r>
                  <w:r>
                    <w:rPr>
                      <w:rFonts w:hint="default" w:ascii="Times New Roman" w:hAnsi="Times New Roman" w:eastAsia="宋体" w:cs="Times New Roman"/>
                      <w:b w:val="0"/>
                      <w:bCs w:val="0"/>
                      <w:sz w:val="21"/>
                      <w:szCs w:val="21"/>
                      <w:vertAlign w:val="baseline"/>
                      <w:lang w:val="en-US" w:eastAsia="zh-CN"/>
                    </w:rPr>
                    <w:t>（mg/L）</w:t>
                  </w:r>
                </w:p>
              </w:tc>
              <w:tc>
                <w:tcPr>
                  <w:tcW w:w="523" w:type="pct"/>
                  <w:tcBorders>
                    <w:tl2br w:val="nil"/>
                    <w:tr2bl w:val="nil"/>
                  </w:tcBorders>
                  <w:shd w:val="clear" w:color="auto" w:fill="auto"/>
                  <w:vAlign w:val="center"/>
                </w:tcPr>
                <w:p w14:paraId="357C6EA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化学需氧量</w:t>
                  </w:r>
                  <w:r>
                    <w:rPr>
                      <w:rFonts w:hint="default" w:ascii="Times New Roman" w:hAnsi="Times New Roman" w:eastAsia="宋体" w:cs="Times New Roman"/>
                      <w:b w:val="0"/>
                      <w:bCs w:val="0"/>
                      <w:sz w:val="21"/>
                      <w:szCs w:val="21"/>
                      <w:vertAlign w:val="baseline"/>
                      <w:lang w:val="en-US" w:eastAsia="zh-CN"/>
                    </w:rPr>
                    <w:t>（mg/L）</w:t>
                  </w:r>
                </w:p>
              </w:tc>
              <w:tc>
                <w:tcPr>
                  <w:tcW w:w="523" w:type="pct"/>
                  <w:tcBorders>
                    <w:tl2br w:val="nil"/>
                    <w:tr2bl w:val="nil"/>
                  </w:tcBorders>
                  <w:shd w:val="clear" w:color="auto" w:fill="auto"/>
                  <w:vAlign w:val="center"/>
                </w:tcPr>
                <w:p w14:paraId="5FD3605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悬浮物（mg/L）</w:t>
                  </w:r>
                </w:p>
              </w:tc>
              <w:tc>
                <w:tcPr>
                  <w:tcW w:w="579" w:type="pct"/>
                  <w:tcBorders>
                    <w:tl2br w:val="nil"/>
                    <w:tr2bl w:val="nil"/>
                  </w:tcBorders>
                  <w:shd w:val="clear" w:color="auto" w:fill="auto"/>
                  <w:vAlign w:val="center"/>
                </w:tcPr>
                <w:p w14:paraId="0870966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总氮</w:t>
                  </w:r>
                  <w:r>
                    <w:rPr>
                      <w:rFonts w:hint="default" w:ascii="Times New Roman" w:hAnsi="Times New Roman" w:eastAsia="宋体" w:cs="Times New Roman"/>
                      <w:b w:val="0"/>
                      <w:bCs w:val="0"/>
                      <w:sz w:val="21"/>
                      <w:szCs w:val="21"/>
                      <w:vertAlign w:val="baseline"/>
                      <w:lang w:val="en-US" w:eastAsia="zh-CN"/>
                    </w:rPr>
                    <w:t>（mg/L）</w:t>
                  </w:r>
                </w:p>
              </w:tc>
              <w:tc>
                <w:tcPr>
                  <w:tcW w:w="532" w:type="pct"/>
                  <w:tcBorders>
                    <w:tl2br w:val="nil"/>
                    <w:tr2bl w:val="nil"/>
                  </w:tcBorders>
                  <w:shd w:val="clear" w:color="auto" w:fill="auto"/>
                  <w:vAlign w:val="center"/>
                </w:tcPr>
                <w:p w14:paraId="46EC66E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总磷</w:t>
                  </w:r>
                  <w:r>
                    <w:rPr>
                      <w:rFonts w:hint="default" w:ascii="Times New Roman" w:hAnsi="Times New Roman" w:eastAsia="宋体" w:cs="Times New Roman"/>
                      <w:b w:val="0"/>
                      <w:bCs w:val="0"/>
                      <w:sz w:val="21"/>
                      <w:szCs w:val="21"/>
                      <w:vertAlign w:val="baseline"/>
                      <w:lang w:val="en-US" w:eastAsia="zh-CN"/>
                    </w:rPr>
                    <w:t>（mg/L）</w:t>
                  </w:r>
                </w:p>
              </w:tc>
              <w:tc>
                <w:tcPr>
                  <w:tcW w:w="460" w:type="pct"/>
                  <w:tcBorders>
                    <w:tl2br w:val="nil"/>
                    <w:tr2bl w:val="nil"/>
                  </w:tcBorders>
                  <w:shd w:val="clear" w:color="auto" w:fill="auto"/>
                  <w:vAlign w:val="center"/>
                </w:tcPr>
                <w:p w14:paraId="1524D77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流量</w:t>
                  </w:r>
                  <w:r>
                    <w:rPr>
                      <w:rFonts w:hint="default" w:ascii="Times New Roman" w:hAnsi="Times New Roman" w:eastAsia="宋体" w:cs="Times New Roman"/>
                      <w:b w:val="0"/>
                      <w:bCs w:val="0"/>
                      <w:sz w:val="21"/>
                      <w:szCs w:val="21"/>
                      <w:vertAlign w:val="baseline"/>
                      <w:lang w:val="en-US" w:eastAsia="zh-CN"/>
                    </w:rPr>
                    <w:t>（t/d）</w:t>
                  </w:r>
                </w:p>
              </w:tc>
            </w:tr>
            <w:tr w14:paraId="58A8A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72" w:type="pct"/>
                  <w:vMerge w:val="restart"/>
                  <w:tcBorders>
                    <w:tl2br w:val="nil"/>
                    <w:tr2bl w:val="nil"/>
                  </w:tcBorders>
                  <w:vAlign w:val="center"/>
                </w:tcPr>
                <w:p w14:paraId="67C17D9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综合废水排放口</w:t>
                  </w:r>
                </w:p>
              </w:tc>
              <w:tc>
                <w:tcPr>
                  <w:tcW w:w="587" w:type="pct"/>
                  <w:vMerge w:val="restart"/>
                  <w:tcBorders>
                    <w:tl2br w:val="nil"/>
                    <w:tr2bl w:val="nil"/>
                  </w:tcBorders>
                  <w:vAlign w:val="center"/>
                </w:tcPr>
                <w:p w14:paraId="1297953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2025.1.2</w:t>
                  </w:r>
                </w:p>
              </w:tc>
              <w:tc>
                <w:tcPr>
                  <w:tcW w:w="310" w:type="pct"/>
                  <w:tcBorders>
                    <w:tl2br w:val="nil"/>
                    <w:tr2bl w:val="nil"/>
                  </w:tcBorders>
                  <w:vAlign w:val="bottom"/>
                </w:tcPr>
                <w:p w14:paraId="5FA39AC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588" w:type="pct"/>
                  <w:tcBorders>
                    <w:tl2br w:val="nil"/>
                    <w:tr2bl w:val="nil"/>
                  </w:tcBorders>
                  <w:vAlign w:val="bottom"/>
                </w:tcPr>
                <w:p w14:paraId="4B1AAF9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421</w:t>
                  </w:r>
                </w:p>
              </w:tc>
              <w:tc>
                <w:tcPr>
                  <w:tcW w:w="523" w:type="pct"/>
                  <w:tcBorders>
                    <w:tl2br w:val="nil"/>
                    <w:tr2bl w:val="nil"/>
                  </w:tcBorders>
                  <w:vAlign w:val="bottom"/>
                </w:tcPr>
                <w:p w14:paraId="372BCFB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9.52</w:t>
                  </w:r>
                </w:p>
              </w:tc>
              <w:tc>
                <w:tcPr>
                  <w:tcW w:w="523" w:type="pct"/>
                  <w:tcBorders>
                    <w:tl2br w:val="nil"/>
                    <w:tr2bl w:val="nil"/>
                  </w:tcBorders>
                  <w:vAlign w:val="bottom"/>
                </w:tcPr>
                <w:p w14:paraId="5954A21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1266</w:t>
                  </w:r>
                </w:p>
              </w:tc>
              <w:tc>
                <w:tcPr>
                  <w:tcW w:w="523" w:type="pct"/>
                  <w:tcBorders>
                    <w:tl2br w:val="nil"/>
                    <w:tr2bl w:val="nil"/>
                  </w:tcBorders>
                  <w:vAlign w:val="bottom"/>
                </w:tcPr>
                <w:p w14:paraId="15F342B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75</w:t>
                  </w:r>
                </w:p>
              </w:tc>
              <w:tc>
                <w:tcPr>
                  <w:tcW w:w="579" w:type="pct"/>
                  <w:tcBorders>
                    <w:tl2br w:val="nil"/>
                    <w:tr2bl w:val="nil"/>
                  </w:tcBorders>
                  <w:vAlign w:val="bottom"/>
                </w:tcPr>
                <w:p w14:paraId="49B3B14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41.3</w:t>
                  </w:r>
                </w:p>
              </w:tc>
              <w:tc>
                <w:tcPr>
                  <w:tcW w:w="532" w:type="pct"/>
                  <w:tcBorders>
                    <w:tl2br w:val="nil"/>
                    <w:tr2bl w:val="nil"/>
                  </w:tcBorders>
                  <w:vAlign w:val="bottom"/>
                </w:tcPr>
                <w:p w14:paraId="5ABAAC3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4.37</w:t>
                  </w:r>
                </w:p>
              </w:tc>
              <w:tc>
                <w:tcPr>
                  <w:tcW w:w="460" w:type="pct"/>
                  <w:vMerge w:val="restart"/>
                  <w:tcBorders>
                    <w:tl2br w:val="nil"/>
                    <w:tr2bl w:val="nil"/>
                  </w:tcBorders>
                  <w:vAlign w:val="center"/>
                </w:tcPr>
                <w:p w14:paraId="3B5340A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19.7</w:t>
                  </w:r>
                </w:p>
              </w:tc>
            </w:tr>
            <w:tr w14:paraId="1E992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72" w:type="pct"/>
                  <w:vMerge w:val="continue"/>
                  <w:tcBorders>
                    <w:tl2br w:val="nil"/>
                    <w:tr2bl w:val="nil"/>
                  </w:tcBorders>
                  <w:vAlign w:val="center"/>
                </w:tcPr>
                <w:p w14:paraId="0A7235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87" w:type="pct"/>
                  <w:vMerge w:val="continue"/>
                  <w:tcBorders>
                    <w:tl2br w:val="nil"/>
                    <w:tr2bl w:val="nil"/>
                  </w:tcBorders>
                  <w:vAlign w:val="center"/>
                </w:tcPr>
                <w:p w14:paraId="2D06489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310" w:type="pct"/>
                  <w:tcBorders>
                    <w:tl2br w:val="nil"/>
                    <w:tr2bl w:val="nil"/>
                  </w:tcBorders>
                  <w:vAlign w:val="bottom"/>
                </w:tcPr>
                <w:p w14:paraId="4C7011C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588" w:type="pct"/>
                  <w:tcBorders>
                    <w:tl2br w:val="nil"/>
                    <w:tr2bl w:val="nil"/>
                  </w:tcBorders>
                  <w:vAlign w:val="bottom"/>
                </w:tcPr>
                <w:p w14:paraId="7797EAA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417</w:t>
                  </w:r>
                </w:p>
              </w:tc>
              <w:tc>
                <w:tcPr>
                  <w:tcW w:w="523" w:type="pct"/>
                  <w:tcBorders>
                    <w:tl2br w:val="nil"/>
                    <w:tr2bl w:val="nil"/>
                  </w:tcBorders>
                  <w:vAlign w:val="bottom"/>
                </w:tcPr>
                <w:p w14:paraId="4F61254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9.60</w:t>
                  </w:r>
                </w:p>
              </w:tc>
              <w:tc>
                <w:tcPr>
                  <w:tcW w:w="523" w:type="pct"/>
                  <w:tcBorders>
                    <w:tl2br w:val="nil"/>
                    <w:tr2bl w:val="nil"/>
                  </w:tcBorders>
                  <w:vAlign w:val="bottom"/>
                </w:tcPr>
                <w:p w14:paraId="5F10E26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1253</w:t>
                  </w:r>
                </w:p>
              </w:tc>
              <w:tc>
                <w:tcPr>
                  <w:tcW w:w="523" w:type="pct"/>
                  <w:tcBorders>
                    <w:tl2br w:val="nil"/>
                    <w:tr2bl w:val="nil"/>
                  </w:tcBorders>
                  <w:vAlign w:val="bottom"/>
                </w:tcPr>
                <w:p w14:paraId="201F387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70</w:t>
                  </w:r>
                </w:p>
              </w:tc>
              <w:tc>
                <w:tcPr>
                  <w:tcW w:w="579" w:type="pct"/>
                  <w:tcBorders>
                    <w:tl2br w:val="nil"/>
                    <w:tr2bl w:val="nil"/>
                  </w:tcBorders>
                  <w:vAlign w:val="bottom"/>
                </w:tcPr>
                <w:p w14:paraId="59BD5A2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41.9</w:t>
                  </w:r>
                </w:p>
              </w:tc>
              <w:tc>
                <w:tcPr>
                  <w:tcW w:w="532" w:type="pct"/>
                  <w:tcBorders>
                    <w:tl2br w:val="nil"/>
                    <w:tr2bl w:val="nil"/>
                  </w:tcBorders>
                  <w:vAlign w:val="bottom"/>
                </w:tcPr>
                <w:p w14:paraId="765DA70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4.13</w:t>
                  </w:r>
                </w:p>
              </w:tc>
              <w:tc>
                <w:tcPr>
                  <w:tcW w:w="460" w:type="pct"/>
                  <w:vMerge w:val="continue"/>
                  <w:tcBorders>
                    <w:tl2br w:val="nil"/>
                    <w:tr2bl w:val="nil"/>
                  </w:tcBorders>
                  <w:vAlign w:val="center"/>
                </w:tcPr>
                <w:p w14:paraId="1AA7C0C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r>
            <w:tr w14:paraId="578E7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72" w:type="pct"/>
                  <w:vMerge w:val="continue"/>
                  <w:tcBorders>
                    <w:tl2br w:val="nil"/>
                    <w:tr2bl w:val="nil"/>
                  </w:tcBorders>
                  <w:vAlign w:val="center"/>
                </w:tcPr>
                <w:p w14:paraId="6E7BBCF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87" w:type="pct"/>
                  <w:vMerge w:val="continue"/>
                  <w:tcBorders>
                    <w:tl2br w:val="nil"/>
                    <w:tr2bl w:val="nil"/>
                  </w:tcBorders>
                  <w:vAlign w:val="center"/>
                </w:tcPr>
                <w:p w14:paraId="59A7F61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310" w:type="pct"/>
                  <w:tcBorders>
                    <w:tl2br w:val="nil"/>
                    <w:tr2bl w:val="nil"/>
                  </w:tcBorders>
                  <w:vAlign w:val="bottom"/>
                </w:tcPr>
                <w:p w14:paraId="48FEEA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588" w:type="pct"/>
                  <w:tcBorders>
                    <w:tl2br w:val="nil"/>
                    <w:tr2bl w:val="nil"/>
                  </w:tcBorders>
                  <w:vAlign w:val="bottom"/>
                </w:tcPr>
                <w:p w14:paraId="173D86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422</w:t>
                  </w:r>
                </w:p>
              </w:tc>
              <w:tc>
                <w:tcPr>
                  <w:tcW w:w="523" w:type="pct"/>
                  <w:tcBorders>
                    <w:tl2br w:val="nil"/>
                    <w:tr2bl w:val="nil"/>
                  </w:tcBorders>
                  <w:vAlign w:val="bottom"/>
                </w:tcPr>
                <w:p w14:paraId="2E966DE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9.47</w:t>
                  </w:r>
                </w:p>
              </w:tc>
              <w:tc>
                <w:tcPr>
                  <w:tcW w:w="523" w:type="pct"/>
                  <w:tcBorders>
                    <w:tl2br w:val="nil"/>
                    <w:tr2bl w:val="nil"/>
                  </w:tcBorders>
                  <w:vAlign w:val="bottom"/>
                </w:tcPr>
                <w:p w14:paraId="534887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1262</w:t>
                  </w:r>
                </w:p>
              </w:tc>
              <w:tc>
                <w:tcPr>
                  <w:tcW w:w="523" w:type="pct"/>
                  <w:tcBorders>
                    <w:tl2br w:val="nil"/>
                    <w:tr2bl w:val="nil"/>
                  </w:tcBorders>
                  <w:vAlign w:val="bottom"/>
                </w:tcPr>
                <w:p w14:paraId="47FF55D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73</w:t>
                  </w:r>
                </w:p>
              </w:tc>
              <w:tc>
                <w:tcPr>
                  <w:tcW w:w="579" w:type="pct"/>
                  <w:tcBorders>
                    <w:tl2br w:val="nil"/>
                    <w:tr2bl w:val="nil"/>
                  </w:tcBorders>
                  <w:vAlign w:val="bottom"/>
                </w:tcPr>
                <w:p w14:paraId="4F6CBF4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42.5</w:t>
                  </w:r>
                </w:p>
              </w:tc>
              <w:tc>
                <w:tcPr>
                  <w:tcW w:w="532" w:type="pct"/>
                  <w:tcBorders>
                    <w:tl2br w:val="nil"/>
                    <w:tr2bl w:val="nil"/>
                  </w:tcBorders>
                  <w:vAlign w:val="bottom"/>
                </w:tcPr>
                <w:p w14:paraId="2C03DA4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4.22</w:t>
                  </w:r>
                </w:p>
              </w:tc>
              <w:tc>
                <w:tcPr>
                  <w:tcW w:w="460" w:type="pct"/>
                  <w:vMerge w:val="continue"/>
                  <w:tcBorders>
                    <w:tl2br w:val="nil"/>
                    <w:tr2bl w:val="nil"/>
                  </w:tcBorders>
                  <w:vAlign w:val="center"/>
                </w:tcPr>
                <w:p w14:paraId="6272BE1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r>
            <w:tr w14:paraId="3630E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jc w:val="center"/>
              </w:trPr>
              <w:tc>
                <w:tcPr>
                  <w:tcW w:w="372" w:type="pct"/>
                  <w:vMerge w:val="continue"/>
                  <w:tcBorders>
                    <w:tl2br w:val="nil"/>
                    <w:tr2bl w:val="nil"/>
                  </w:tcBorders>
                  <w:vAlign w:val="center"/>
                </w:tcPr>
                <w:p w14:paraId="7B61700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87" w:type="pct"/>
                  <w:vMerge w:val="restart"/>
                  <w:tcBorders>
                    <w:tl2br w:val="nil"/>
                    <w:tr2bl w:val="nil"/>
                  </w:tcBorders>
                  <w:vAlign w:val="center"/>
                </w:tcPr>
                <w:p w14:paraId="098BA8E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2025.1.3</w:t>
                  </w:r>
                </w:p>
              </w:tc>
              <w:tc>
                <w:tcPr>
                  <w:tcW w:w="310" w:type="pct"/>
                  <w:tcBorders>
                    <w:tl2br w:val="nil"/>
                    <w:tr2bl w:val="nil"/>
                  </w:tcBorders>
                  <w:vAlign w:val="center"/>
                </w:tcPr>
                <w:p w14:paraId="7E8F2BE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588" w:type="pct"/>
                  <w:tcBorders>
                    <w:tl2br w:val="nil"/>
                    <w:tr2bl w:val="nil"/>
                  </w:tcBorders>
                  <w:vAlign w:val="center"/>
                </w:tcPr>
                <w:p w14:paraId="3990272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425</w:t>
                  </w:r>
                </w:p>
              </w:tc>
              <w:tc>
                <w:tcPr>
                  <w:tcW w:w="523" w:type="pct"/>
                  <w:tcBorders>
                    <w:tl2br w:val="nil"/>
                    <w:tr2bl w:val="nil"/>
                  </w:tcBorders>
                  <w:vAlign w:val="center"/>
                </w:tcPr>
                <w:p w14:paraId="748763C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9.57</w:t>
                  </w:r>
                </w:p>
              </w:tc>
              <w:tc>
                <w:tcPr>
                  <w:tcW w:w="523" w:type="pct"/>
                  <w:tcBorders>
                    <w:tl2br w:val="nil"/>
                    <w:tr2bl w:val="nil"/>
                  </w:tcBorders>
                  <w:vAlign w:val="center"/>
                </w:tcPr>
                <w:p w14:paraId="60B354D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1248</w:t>
                  </w:r>
                </w:p>
              </w:tc>
              <w:tc>
                <w:tcPr>
                  <w:tcW w:w="523" w:type="pct"/>
                  <w:tcBorders>
                    <w:tl2br w:val="nil"/>
                    <w:tr2bl w:val="nil"/>
                  </w:tcBorders>
                  <w:vAlign w:val="center"/>
                </w:tcPr>
                <w:p w14:paraId="2D244C7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74</w:t>
                  </w:r>
                </w:p>
              </w:tc>
              <w:tc>
                <w:tcPr>
                  <w:tcW w:w="579" w:type="pct"/>
                  <w:tcBorders>
                    <w:tl2br w:val="nil"/>
                    <w:tr2bl w:val="nil"/>
                  </w:tcBorders>
                  <w:vAlign w:val="center"/>
                </w:tcPr>
                <w:p w14:paraId="4DA4C6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43.0</w:t>
                  </w:r>
                </w:p>
              </w:tc>
              <w:tc>
                <w:tcPr>
                  <w:tcW w:w="532" w:type="pct"/>
                  <w:tcBorders>
                    <w:tl2br w:val="nil"/>
                    <w:tr2bl w:val="nil"/>
                  </w:tcBorders>
                  <w:vAlign w:val="center"/>
                </w:tcPr>
                <w:p w14:paraId="7E3AD5A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4.24</w:t>
                  </w:r>
                </w:p>
              </w:tc>
              <w:tc>
                <w:tcPr>
                  <w:tcW w:w="460" w:type="pct"/>
                  <w:vMerge w:val="restart"/>
                  <w:tcBorders>
                    <w:tl2br w:val="nil"/>
                    <w:tr2bl w:val="nil"/>
                  </w:tcBorders>
                  <w:vAlign w:val="center"/>
                </w:tcPr>
                <w:p w14:paraId="0947163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19.5</w:t>
                  </w:r>
                </w:p>
              </w:tc>
            </w:tr>
            <w:tr w14:paraId="53BC0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jc w:val="center"/>
              </w:trPr>
              <w:tc>
                <w:tcPr>
                  <w:tcW w:w="372" w:type="pct"/>
                  <w:vMerge w:val="continue"/>
                  <w:tcBorders>
                    <w:tl2br w:val="nil"/>
                    <w:tr2bl w:val="nil"/>
                  </w:tcBorders>
                  <w:vAlign w:val="center"/>
                </w:tcPr>
                <w:p w14:paraId="32A0F6E7">
                  <w:pPr>
                    <w:adjustRightInd w:val="0"/>
                    <w:snapToGrid w:val="0"/>
                    <w:jc w:val="center"/>
                    <w:rPr>
                      <w:sz w:val="18"/>
                      <w:szCs w:val="18"/>
                    </w:rPr>
                  </w:pPr>
                </w:p>
              </w:tc>
              <w:tc>
                <w:tcPr>
                  <w:tcW w:w="587" w:type="pct"/>
                  <w:vMerge w:val="continue"/>
                  <w:tcBorders>
                    <w:tl2br w:val="nil"/>
                    <w:tr2bl w:val="nil"/>
                  </w:tcBorders>
                  <w:vAlign w:val="center"/>
                </w:tcPr>
                <w:p w14:paraId="630BF8E3">
                  <w:pPr>
                    <w:widowControl/>
                    <w:jc w:val="center"/>
                    <w:textAlignment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p>
              </w:tc>
              <w:tc>
                <w:tcPr>
                  <w:tcW w:w="310" w:type="pct"/>
                  <w:tcBorders>
                    <w:tl2br w:val="nil"/>
                    <w:tr2bl w:val="nil"/>
                  </w:tcBorders>
                  <w:vAlign w:val="center"/>
                </w:tcPr>
                <w:p w14:paraId="26E10E3A">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w:t>
                  </w:r>
                </w:p>
              </w:tc>
              <w:tc>
                <w:tcPr>
                  <w:tcW w:w="588" w:type="pct"/>
                  <w:tcBorders>
                    <w:tl2br w:val="nil"/>
                    <w:tr2bl w:val="nil"/>
                  </w:tcBorders>
                  <w:vAlign w:val="center"/>
                </w:tcPr>
                <w:p w14:paraId="2E8035A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523" w:type="pct"/>
                  <w:tcBorders>
                    <w:tl2br w:val="nil"/>
                    <w:tr2bl w:val="nil"/>
                  </w:tcBorders>
                  <w:vAlign w:val="center"/>
                </w:tcPr>
                <w:p w14:paraId="41E9F6F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9.60</w:t>
                  </w:r>
                </w:p>
              </w:tc>
              <w:tc>
                <w:tcPr>
                  <w:tcW w:w="523" w:type="pct"/>
                  <w:tcBorders>
                    <w:tl2br w:val="nil"/>
                    <w:tr2bl w:val="nil"/>
                  </w:tcBorders>
                  <w:vAlign w:val="center"/>
                </w:tcPr>
                <w:p w14:paraId="20F45288">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1273</w:t>
                  </w:r>
                </w:p>
              </w:tc>
              <w:tc>
                <w:tcPr>
                  <w:tcW w:w="523" w:type="pct"/>
                  <w:tcBorders>
                    <w:tl2br w:val="nil"/>
                    <w:tr2bl w:val="nil"/>
                  </w:tcBorders>
                  <w:vAlign w:val="center"/>
                </w:tcPr>
                <w:p w14:paraId="7B2C1ED1">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72</w:t>
                  </w:r>
                </w:p>
              </w:tc>
              <w:tc>
                <w:tcPr>
                  <w:tcW w:w="579" w:type="pct"/>
                  <w:tcBorders>
                    <w:tl2br w:val="nil"/>
                    <w:tr2bl w:val="nil"/>
                  </w:tcBorders>
                  <w:vAlign w:val="center"/>
                </w:tcPr>
                <w:p w14:paraId="4974391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43.9</w:t>
                  </w:r>
                </w:p>
              </w:tc>
              <w:tc>
                <w:tcPr>
                  <w:tcW w:w="532" w:type="pct"/>
                  <w:tcBorders>
                    <w:tl2br w:val="nil"/>
                    <w:tr2bl w:val="nil"/>
                  </w:tcBorders>
                  <w:vAlign w:val="center"/>
                </w:tcPr>
                <w:p w14:paraId="7F0B210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4.10</w:t>
                  </w:r>
                </w:p>
              </w:tc>
              <w:tc>
                <w:tcPr>
                  <w:tcW w:w="460" w:type="pct"/>
                  <w:vMerge w:val="continue"/>
                  <w:tcBorders>
                    <w:tl2br w:val="nil"/>
                    <w:tr2bl w:val="nil"/>
                  </w:tcBorders>
                  <w:vAlign w:val="center"/>
                </w:tcPr>
                <w:p w14:paraId="474B1D6E">
                  <w:pPr>
                    <w:widowControl/>
                    <w:jc w:val="center"/>
                    <w:textAlignment w:val="center"/>
                    <w:rPr>
                      <w:rFonts w:hint="eastAsia"/>
                      <w:sz w:val="18"/>
                      <w:szCs w:val="18"/>
                      <w:lang w:val="en-US" w:eastAsia="zh-CN"/>
                    </w:rPr>
                  </w:pPr>
                </w:p>
              </w:tc>
            </w:tr>
            <w:tr w14:paraId="5B592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jc w:val="center"/>
              </w:trPr>
              <w:tc>
                <w:tcPr>
                  <w:tcW w:w="372" w:type="pct"/>
                  <w:vMerge w:val="continue"/>
                  <w:tcBorders>
                    <w:tl2br w:val="nil"/>
                    <w:tr2bl w:val="nil"/>
                  </w:tcBorders>
                  <w:vAlign w:val="center"/>
                </w:tcPr>
                <w:p w14:paraId="4B7512F3">
                  <w:pPr>
                    <w:adjustRightInd w:val="0"/>
                    <w:snapToGrid w:val="0"/>
                    <w:jc w:val="center"/>
                    <w:rPr>
                      <w:sz w:val="18"/>
                      <w:szCs w:val="18"/>
                    </w:rPr>
                  </w:pPr>
                </w:p>
              </w:tc>
              <w:tc>
                <w:tcPr>
                  <w:tcW w:w="587" w:type="pct"/>
                  <w:vMerge w:val="continue"/>
                  <w:tcBorders>
                    <w:tl2br w:val="nil"/>
                    <w:tr2bl w:val="nil"/>
                  </w:tcBorders>
                  <w:vAlign w:val="center"/>
                </w:tcPr>
                <w:p w14:paraId="0D42CB7B">
                  <w:pPr>
                    <w:widowControl/>
                    <w:jc w:val="center"/>
                    <w:textAlignment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p>
              </w:tc>
              <w:tc>
                <w:tcPr>
                  <w:tcW w:w="310" w:type="pct"/>
                  <w:tcBorders>
                    <w:tl2br w:val="nil"/>
                    <w:tr2bl w:val="nil"/>
                  </w:tcBorders>
                  <w:vAlign w:val="center"/>
                </w:tcPr>
                <w:p w14:paraId="39BD8804">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w:t>
                  </w:r>
                </w:p>
              </w:tc>
              <w:tc>
                <w:tcPr>
                  <w:tcW w:w="588" w:type="pct"/>
                  <w:tcBorders>
                    <w:tl2br w:val="nil"/>
                    <w:tr2bl w:val="nil"/>
                  </w:tcBorders>
                  <w:vAlign w:val="center"/>
                </w:tcPr>
                <w:p w14:paraId="6D4458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423</w:t>
                  </w:r>
                </w:p>
              </w:tc>
              <w:tc>
                <w:tcPr>
                  <w:tcW w:w="523" w:type="pct"/>
                  <w:tcBorders>
                    <w:tl2br w:val="nil"/>
                    <w:tr2bl w:val="nil"/>
                  </w:tcBorders>
                  <w:vAlign w:val="center"/>
                </w:tcPr>
                <w:p w14:paraId="4FA3E13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9.71</w:t>
                  </w:r>
                </w:p>
              </w:tc>
              <w:tc>
                <w:tcPr>
                  <w:tcW w:w="523" w:type="pct"/>
                  <w:tcBorders>
                    <w:tl2br w:val="nil"/>
                    <w:tr2bl w:val="nil"/>
                  </w:tcBorders>
                  <w:vAlign w:val="center"/>
                </w:tcPr>
                <w:p w14:paraId="5F16BA6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1252</w:t>
                  </w:r>
                </w:p>
              </w:tc>
              <w:tc>
                <w:tcPr>
                  <w:tcW w:w="523" w:type="pct"/>
                  <w:tcBorders>
                    <w:tl2br w:val="nil"/>
                    <w:tr2bl w:val="nil"/>
                  </w:tcBorders>
                  <w:vAlign w:val="center"/>
                </w:tcPr>
                <w:p w14:paraId="679B943D">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71</w:t>
                  </w:r>
                </w:p>
              </w:tc>
              <w:tc>
                <w:tcPr>
                  <w:tcW w:w="579" w:type="pct"/>
                  <w:tcBorders>
                    <w:tl2br w:val="nil"/>
                    <w:tr2bl w:val="nil"/>
                  </w:tcBorders>
                  <w:vAlign w:val="center"/>
                </w:tcPr>
                <w:p w14:paraId="610F4A3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43.4</w:t>
                  </w:r>
                </w:p>
              </w:tc>
              <w:tc>
                <w:tcPr>
                  <w:tcW w:w="532" w:type="pct"/>
                  <w:tcBorders>
                    <w:tl2br w:val="nil"/>
                    <w:tr2bl w:val="nil"/>
                  </w:tcBorders>
                  <w:vAlign w:val="center"/>
                </w:tcPr>
                <w:p w14:paraId="69ADF36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4.22</w:t>
                  </w:r>
                </w:p>
              </w:tc>
              <w:tc>
                <w:tcPr>
                  <w:tcW w:w="460" w:type="pct"/>
                  <w:vMerge w:val="continue"/>
                  <w:tcBorders>
                    <w:tl2br w:val="nil"/>
                    <w:tr2bl w:val="nil"/>
                  </w:tcBorders>
                  <w:vAlign w:val="center"/>
                </w:tcPr>
                <w:p w14:paraId="25B6BF76">
                  <w:pPr>
                    <w:widowControl/>
                    <w:jc w:val="center"/>
                    <w:textAlignment w:val="center"/>
                    <w:rPr>
                      <w:rFonts w:hint="eastAsia"/>
                      <w:sz w:val="18"/>
                      <w:szCs w:val="18"/>
                      <w:lang w:val="en-US" w:eastAsia="zh-CN"/>
                    </w:rPr>
                  </w:pPr>
                </w:p>
              </w:tc>
            </w:tr>
          </w:tbl>
          <w:p w14:paraId="6EF52C0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项目废水主</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要为生活废水</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和生产废水</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生产废水经调节池预处理后与经化粪池处理后的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一同进入长垣市常源污水处理厂，</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1248--1273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i w:val="0"/>
                <w:iCs w:val="0"/>
                <w:color w:val="000000"/>
                <w:kern w:val="0"/>
                <w:sz w:val="24"/>
                <w:szCs w:val="24"/>
                <w:highlight w:val="none"/>
                <w:u w:val="none"/>
                <w:lang w:val="en-US" w:eastAsia="zh-CN" w:bidi="ar"/>
              </w:rPr>
              <w:t>415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i w:val="0"/>
                <w:iCs w:val="0"/>
                <w:color w:val="000000"/>
                <w:kern w:val="0"/>
                <w:sz w:val="24"/>
                <w:szCs w:val="24"/>
                <w:highlight w:val="none"/>
                <w:u w:val="none"/>
                <w:lang w:val="en-US" w:eastAsia="zh-CN" w:bidi="ar"/>
              </w:rPr>
              <w:t>425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70-75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eastAsia" w:ascii="Times New Roman" w:hAnsi="Times New Roman" w:eastAsia="宋体" w:cs="Times New Roman"/>
                <w:i w:val="0"/>
                <w:iCs w:val="0"/>
                <w:color w:val="auto"/>
                <w:kern w:val="0"/>
                <w:sz w:val="24"/>
                <w:szCs w:val="24"/>
                <w:highlight w:val="none"/>
                <w:u w:val="none"/>
                <w:lang w:val="en-US" w:eastAsia="zh-CN" w:bidi="ar"/>
              </w:rPr>
              <w:t>9.47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-9.71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eastAsia" w:ascii="Times New Roman" w:hAnsi="Times New Roman" w:eastAsia="宋体" w:cs="Times New Roman"/>
                <w:i w:val="0"/>
                <w:iCs w:val="0"/>
                <w:color w:val="auto"/>
                <w:kern w:val="0"/>
                <w:sz w:val="24"/>
                <w:szCs w:val="24"/>
                <w:highlight w:val="none"/>
                <w:u w:val="none"/>
                <w:lang w:val="en-US" w:eastAsia="zh-CN" w:bidi="ar"/>
              </w:rPr>
              <w:t>41.3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-43.9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、总磷为4.1-4.37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mg/L满足长垣市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常源污水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41C09822">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废气</w:t>
            </w:r>
          </w:p>
          <w:p w14:paraId="47494F2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本项目有组织废气检测结果见表</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17</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64DCEBD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17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有组织废气</w:t>
            </w:r>
            <w:r>
              <w:rPr>
                <w:rFonts w:hint="default" w:ascii="Times New Roman" w:hAnsi="Times New Roman" w:cs="Times New Roman" w:eastAsiaTheme="minorEastAsia"/>
                <w:b/>
                <w:bCs/>
                <w:color w:val="auto"/>
                <w:kern w:val="2"/>
                <w:sz w:val="21"/>
                <w:szCs w:val="21"/>
                <w:lang w:val="en-US" w:eastAsia="zh-CN" w:bidi="ar-SA"/>
              </w:rPr>
              <w:t>监测结果</w:t>
            </w:r>
          </w:p>
          <w:tbl>
            <w:tblPr>
              <w:tblStyle w:val="3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8"/>
              <w:gridCol w:w="996"/>
              <w:gridCol w:w="705"/>
              <w:gridCol w:w="1352"/>
              <w:gridCol w:w="2203"/>
              <w:gridCol w:w="2204"/>
            </w:tblGrid>
            <w:tr w14:paraId="674FD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tcBorders>
                    <w:tl2br w:val="nil"/>
                    <w:tr2bl w:val="nil"/>
                  </w:tcBorders>
                  <w:vAlign w:val="center"/>
                </w:tcPr>
                <w:p w14:paraId="57D2A79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检测点位</w:t>
                  </w:r>
                </w:p>
              </w:tc>
              <w:tc>
                <w:tcPr>
                  <w:tcW w:w="571" w:type="pct"/>
                  <w:tcBorders>
                    <w:tl2br w:val="nil"/>
                    <w:tr2bl w:val="nil"/>
                  </w:tcBorders>
                  <w:vAlign w:val="center"/>
                </w:tcPr>
                <w:p w14:paraId="0262DE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采样</w:t>
                  </w:r>
                  <w:r>
                    <w:rPr>
                      <w:rFonts w:hint="default" w:ascii="Times New Roman" w:hAnsi="Times New Roman" w:eastAsia="宋体" w:cs="Times New Roman"/>
                      <w:sz w:val="21"/>
                      <w:szCs w:val="21"/>
                      <w:vertAlign w:val="baseline"/>
                      <w:lang w:val="en-US" w:eastAsia="zh-CN"/>
                    </w:rPr>
                    <w:t>日期</w:t>
                  </w:r>
                </w:p>
              </w:tc>
              <w:tc>
                <w:tcPr>
                  <w:tcW w:w="404" w:type="pct"/>
                  <w:tcBorders>
                    <w:tl2br w:val="nil"/>
                    <w:tr2bl w:val="nil"/>
                  </w:tcBorders>
                  <w:vAlign w:val="center"/>
                </w:tcPr>
                <w:p w14:paraId="49FDC53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测次</w:t>
                  </w:r>
                </w:p>
              </w:tc>
              <w:tc>
                <w:tcPr>
                  <w:tcW w:w="774" w:type="pct"/>
                  <w:tcBorders>
                    <w:tl2br w:val="nil"/>
                    <w:tr2bl w:val="nil"/>
                  </w:tcBorders>
                  <w:vAlign w:val="center"/>
                </w:tcPr>
                <w:p w14:paraId="1D3523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废气量 (m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/h)</w:t>
                  </w:r>
                </w:p>
              </w:tc>
              <w:tc>
                <w:tcPr>
                  <w:tcW w:w="1263" w:type="pct"/>
                  <w:tcBorders>
                    <w:tl2br w:val="nil"/>
                    <w:tr2bl w:val="nil"/>
                  </w:tcBorders>
                  <w:vAlign w:val="center"/>
                </w:tcPr>
                <w:p w14:paraId="049AB9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非甲烷总烃</w:t>
                  </w:r>
                  <w:r>
                    <w:rPr>
                      <w:rFonts w:hint="default" w:ascii="Times New Roman" w:hAnsi="Times New Roman" w:eastAsia="宋体" w:cs="Times New Roman"/>
                      <w:sz w:val="21"/>
                      <w:szCs w:val="21"/>
                      <w:vertAlign w:val="baseline"/>
                      <w:lang w:val="en-US" w:eastAsia="zh-CN"/>
                    </w:rPr>
                    <w:t>排放浓度(mg/m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c>
                <w:tcPr>
                  <w:tcW w:w="1263" w:type="pct"/>
                  <w:tcBorders>
                    <w:tl2br w:val="nil"/>
                    <w:tr2bl w:val="nil"/>
                  </w:tcBorders>
                  <w:vAlign w:val="center"/>
                </w:tcPr>
                <w:p w14:paraId="638E71D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非甲烷总烃</w:t>
                  </w:r>
                  <w:r>
                    <w:rPr>
                      <w:rFonts w:hint="default" w:ascii="Times New Roman" w:hAnsi="Times New Roman" w:eastAsia="宋体" w:cs="Times New Roman"/>
                      <w:sz w:val="21"/>
                      <w:szCs w:val="21"/>
                      <w:vertAlign w:val="baseline"/>
                      <w:lang w:val="en-US" w:eastAsia="zh-CN"/>
                    </w:rPr>
                    <w:t>排放速率(kg/h)</w:t>
                  </w:r>
                </w:p>
              </w:tc>
            </w:tr>
            <w:tr w14:paraId="2F08D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22" w:type="pct"/>
                  <w:vMerge w:val="restart"/>
                  <w:tcBorders>
                    <w:tl2br w:val="nil"/>
                    <w:tr2bl w:val="nil"/>
                  </w:tcBorders>
                  <w:vAlign w:val="center"/>
                </w:tcPr>
                <w:p w14:paraId="51A15AB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封口废气二级活性炭吸附装置+15m高排气筒（P1）进口</w:t>
                  </w:r>
                </w:p>
              </w:tc>
              <w:tc>
                <w:tcPr>
                  <w:tcW w:w="571" w:type="pct"/>
                  <w:vMerge w:val="restart"/>
                  <w:tcBorders>
                    <w:tl2br w:val="nil"/>
                    <w:tr2bl w:val="nil"/>
                  </w:tcBorders>
                  <w:vAlign w:val="center"/>
                </w:tcPr>
                <w:p w14:paraId="4187058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2025.1.2</w:t>
                  </w:r>
                </w:p>
              </w:tc>
              <w:tc>
                <w:tcPr>
                  <w:tcW w:w="404" w:type="pct"/>
                  <w:tcBorders>
                    <w:tl2br w:val="nil"/>
                    <w:tr2bl w:val="nil"/>
                  </w:tcBorders>
                  <w:vAlign w:val="center"/>
                </w:tcPr>
                <w:p w14:paraId="5E4B020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774" w:type="pct"/>
                  <w:tcBorders>
                    <w:tl2br w:val="nil"/>
                    <w:tr2bl w:val="nil"/>
                  </w:tcBorders>
                  <w:vAlign w:val="center"/>
                </w:tcPr>
                <w:p w14:paraId="60A7081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2.45</w:t>
                  </w:r>
                  <w:r>
                    <w:rPr>
                      <w:rFonts w:hint="default"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79C1D41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61.8 </w:t>
                  </w:r>
                </w:p>
              </w:tc>
              <w:tc>
                <w:tcPr>
                  <w:tcW w:w="2635" w:type="dxa"/>
                  <w:tcBorders>
                    <w:tl2br w:val="nil"/>
                    <w:tr2bl w:val="nil"/>
                  </w:tcBorders>
                  <w:vAlign w:val="center"/>
                </w:tcPr>
                <w:p w14:paraId="2A9C0A0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0.151 </w:t>
                  </w:r>
                </w:p>
              </w:tc>
            </w:tr>
            <w:tr w14:paraId="36BA3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722" w:type="pct"/>
                  <w:vMerge w:val="continue"/>
                  <w:tcBorders>
                    <w:tl2br w:val="nil"/>
                    <w:tr2bl w:val="nil"/>
                  </w:tcBorders>
                  <w:vAlign w:val="center"/>
                </w:tcPr>
                <w:p w14:paraId="3BF712B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39C8D2D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0943F54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774" w:type="pct"/>
                  <w:tcBorders>
                    <w:tl2br w:val="nil"/>
                    <w:tr2bl w:val="nil"/>
                  </w:tcBorders>
                  <w:vAlign w:val="center"/>
                </w:tcPr>
                <w:p w14:paraId="30A7FF6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2.39</w:t>
                  </w:r>
                  <w:r>
                    <w:rPr>
                      <w:rFonts w:hint="default"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19975C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66.8 </w:t>
                  </w:r>
                </w:p>
              </w:tc>
              <w:tc>
                <w:tcPr>
                  <w:tcW w:w="2635" w:type="dxa"/>
                  <w:tcBorders>
                    <w:tl2br w:val="nil"/>
                    <w:tr2bl w:val="nil"/>
                  </w:tcBorders>
                  <w:vAlign w:val="center"/>
                </w:tcPr>
                <w:p w14:paraId="4054B15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0.160 </w:t>
                  </w:r>
                </w:p>
              </w:tc>
            </w:tr>
            <w:tr w14:paraId="5A2E1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722" w:type="pct"/>
                  <w:vMerge w:val="continue"/>
                  <w:tcBorders>
                    <w:tl2br w:val="nil"/>
                    <w:tr2bl w:val="nil"/>
                  </w:tcBorders>
                  <w:vAlign w:val="center"/>
                </w:tcPr>
                <w:p w14:paraId="6FA45EA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2800AA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6B3CAD6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774" w:type="pct"/>
                  <w:tcBorders>
                    <w:tl2br w:val="nil"/>
                    <w:tr2bl w:val="nil"/>
                  </w:tcBorders>
                  <w:vAlign w:val="center"/>
                </w:tcPr>
                <w:p w14:paraId="1FCD71D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2.41</w:t>
                  </w:r>
                  <w:r>
                    <w:rPr>
                      <w:rFonts w:hint="default"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1B15D0D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62.9 </w:t>
                  </w:r>
                </w:p>
              </w:tc>
              <w:tc>
                <w:tcPr>
                  <w:tcW w:w="2635" w:type="dxa"/>
                  <w:tcBorders>
                    <w:tl2br w:val="nil"/>
                    <w:tr2bl w:val="nil"/>
                  </w:tcBorders>
                  <w:vAlign w:val="center"/>
                </w:tcPr>
                <w:p w14:paraId="018D51F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0.152 </w:t>
                  </w:r>
                </w:p>
              </w:tc>
            </w:tr>
            <w:tr w14:paraId="1C75E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2" w:type="pct"/>
                  <w:vMerge w:val="continue"/>
                  <w:tcBorders>
                    <w:tl2br w:val="nil"/>
                    <w:tr2bl w:val="nil"/>
                  </w:tcBorders>
                  <w:vAlign w:val="center"/>
                </w:tcPr>
                <w:p w14:paraId="66AFF5F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2357BE1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12F31A1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774" w:type="pct"/>
                  <w:tcBorders>
                    <w:tl2br w:val="nil"/>
                    <w:tr2bl w:val="nil"/>
                  </w:tcBorders>
                  <w:vAlign w:val="center"/>
                </w:tcPr>
                <w:p w14:paraId="587FD3E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2.42</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77C0A0D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63.8 </w:t>
                  </w:r>
                </w:p>
              </w:tc>
              <w:tc>
                <w:tcPr>
                  <w:tcW w:w="2635" w:type="dxa"/>
                  <w:tcBorders>
                    <w:tl2br w:val="nil"/>
                    <w:tr2bl w:val="nil"/>
                  </w:tcBorders>
                  <w:vAlign w:val="center"/>
                </w:tcPr>
                <w:p w14:paraId="43A010C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0.154 </w:t>
                  </w:r>
                </w:p>
              </w:tc>
            </w:tr>
            <w:tr w14:paraId="19523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restart"/>
                  <w:tcBorders>
                    <w:tl2br w:val="nil"/>
                    <w:tr2bl w:val="nil"/>
                  </w:tcBorders>
                  <w:vAlign w:val="center"/>
                </w:tcPr>
                <w:p w14:paraId="2D9C5C9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封口废气二级活性炭吸附装置+15m高排气筒（P1）出口</w:t>
                  </w:r>
                </w:p>
              </w:tc>
              <w:tc>
                <w:tcPr>
                  <w:tcW w:w="571" w:type="pct"/>
                  <w:vMerge w:val="continue"/>
                  <w:tcBorders>
                    <w:tl2br w:val="nil"/>
                    <w:tr2bl w:val="nil"/>
                  </w:tcBorders>
                  <w:vAlign w:val="center"/>
                </w:tcPr>
                <w:p w14:paraId="0EC1AF2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1E2EA7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774" w:type="pct"/>
                  <w:tcBorders>
                    <w:tl2br w:val="nil"/>
                    <w:tr2bl w:val="nil"/>
                  </w:tcBorders>
                  <w:vAlign w:val="center"/>
                </w:tcPr>
                <w:p w14:paraId="37BA71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2.65</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76C2884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5.28</w:t>
                  </w:r>
                </w:p>
              </w:tc>
              <w:tc>
                <w:tcPr>
                  <w:tcW w:w="2635" w:type="dxa"/>
                  <w:tcBorders>
                    <w:tl2br w:val="nil"/>
                    <w:tr2bl w:val="nil"/>
                  </w:tcBorders>
                  <w:vAlign w:val="center"/>
                </w:tcPr>
                <w:p w14:paraId="236A54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0.0140 </w:t>
                  </w:r>
                </w:p>
              </w:tc>
            </w:tr>
            <w:tr w14:paraId="0C1D7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7A26ED7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3C8118A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3092CF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774" w:type="pct"/>
                  <w:tcBorders>
                    <w:tl2br w:val="nil"/>
                    <w:tr2bl w:val="nil"/>
                  </w:tcBorders>
                  <w:vAlign w:val="center"/>
                </w:tcPr>
                <w:p w14:paraId="58449E7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2.58</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472863B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5.03</w:t>
                  </w:r>
                </w:p>
              </w:tc>
              <w:tc>
                <w:tcPr>
                  <w:tcW w:w="2635" w:type="dxa"/>
                  <w:tcBorders>
                    <w:tl2br w:val="nil"/>
                    <w:tr2bl w:val="nil"/>
                  </w:tcBorders>
                  <w:vAlign w:val="center"/>
                </w:tcPr>
                <w:p w14:paraId="60F604A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0.0130 </w:t>
                  </w:r>
                </w:p>
              </w:tc>
            </w:tr>
            <w:tr w14:paraId="750CC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66C98D1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1D7CB81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388D42B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774" w:type="pct"/>
                  <w:tcBorders>
                    <w:tl2br w:val="nil"/>
                    <w:tr2bl w:val="nil"/>
                  </w:tcBorders>
                  <w:vAlign w:val="center"/>
                </w:tcPr>
                <w:p w14:paraId="4EE5991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2.60</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05366E9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4.91</w:t>
                  </w:r>
                </w:p>
              </w:tc>
              <w:tc>
                <w:tcPr>
                  <w:tcW w:w="2635" w:type="dxa"/>
                  <w:tcBorders>
                    <w:tl2br w:val="nil"/>
                    <w:tr2bl w:val="nil"/>
                  </w:tcBorders>
                  <w:vAlign w:val="center"/>
                </w:tcPr>
                <w:p w14:paraId="4F678C4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0.0128 </w:t>
                  </w:r>
                </w:p>
              </w:tc>
            </w:tr>
            <w:tr w14:paraId="3DFA6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3091A0F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211764C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5B156C1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774" w:type="pct"/>
                  <w:tcBorders>
                    <w:tl2br w:val="nil"/>
                    <w:tr2bl w:val="nil"/>
                  </w:tcBorders>
                  <w:vAlign w:val="center"/>
                </w:tcPr>
                <w:p w14:paraId="06DD5C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2.61</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4D7C06D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5.07 </w:t>
                  </w:r>
                </w:p>
              </w:tc>
              <w:tc>
                <w:tcPr>
                  <w:tcW w:w="2635" w:type="dxa"/>
                  <w:tcBorders>
                    <w:tl2br w:val="nil"/>
                    <w:tr2bl w:val="nil"/>
                  </w:tcBorders>
                  <w:vAlign w:val="center"/>
                </w:tcPr>
                <w:p w14:paraId="7F568ED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0.0132 </w:t>
                  </w:r>
                </w:p>
              </w:tc>
            </w:tr>
            <w:tr w14:paraId="294EA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72" w:type="pct"/>
                  <w:gridSpan w:val="4"/>
                  <w:tcBorders>
                    <w:tl2br w:val="nil"/>
                    <w:tr2bl w:val="nil"/>
                  </w:tcBorders>
                  <w:vAlign w:val="center"/>
                </w:tcPr>
                <w:p w14:paraId="2ED14E2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去除率（%）</w:t>
                  </w:r>
                </w:p>
              </w:tc>
              <w:tc>
                <w:tcPr>
                  <w:tcW w:w="2527" w:type="pct"/>
                  <w:gridSpan w:val="2"/>
                  <w:tcBorders>
                    <w:tl2br w:val="nil"/>
                    <w:tr2bl w:val="nil"/>
                  </w:tcBorders>
                  <w:vAlign w:val="center"/>
                </w:tcPr>
                <w:p w14:paraId="482E913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91.4</w:t>
                  </w:r>
                </w:p>
              </w:tc>
            </w:tr>
            <w:tr w14:paraId="471E2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restart"/>
                  <w:tcBorders>
                    <w:tl2br w:val="nil"/>
                    <w:tr2bl w:val="nil"/>
                  </w:tcBorders>
                  <w:vAlign w:val="center"/>
                </w:tcPr>
                <w:p w14:paraId="240B96F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封口废气二级活性炭吸附装置+15m高排气筒（P1）进口</w:t>
                  </w:r>
                </w:p>
              </w:tc>
              <w:tc>
                <w:tcPr>
                  <w:tcW w:w="571" w:type="pct"/>
                  <w:vMerge w:val="restart"/>
                  <w:tcBorders>
                    <w:tl2br w:val="nil"/>
                    <w:tr2bl w:val="nil"/>
                  </w:tcBorders>
                  <w:vAlign w:val="center"/>
                </w:tcPr>
                <w:p w14:paraId="01819D2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2025.1.3</w:t>
                  </w:r>
                </w:p>
              </w:tc>
              <w:tc>
                <w:tcPr>
                  <w:tcW w:w="404" w:type="pct"/>
                  <w:tcBorders>
                    <w:tl2br w:val="nil"/>
                    <w:tr2bl w:val="nil"/>
                  </w:tcBorders>
                  <w:vAlign w:val="center"/>
                </w:tcPr>
                <w:p w14:paraId="58816FB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774" w:type="pct"/>
                  <w:tcBorders>
                    <w:tl2br w:val="nil"/>
                    <w:tr2bl w:val="nil"/>
                  </w:tcBorders>
                  <w:vAlign w:val="center"/>
                </w:tcPr>
                <w:p w14:paraId="520547D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2.51</w:t>
                  </w:r>
                  <w:r>
                    <w:rPr>
                      <w:rFonts w:hint="default"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58E6F7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61.2 </w:t>
                  </w:r>
                </w:p>
              </w:tc>
              <w:tc>
                <w:tcPr>
                  <w:tcW w:w="2635" w:type="dxa"/>
                  <w:tcBorders>
                    <w:tl2br w:val="nil"/>
                    <w:tr2bl w:val="nil"/>
                  </w:tcBorders>
                  <w:vAlign w:val="center"/>
                </w:tcPr>
                <w:p w14:paraId="4B95BA1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0.154 </w:t>
                  </w:r>
                </w:p>
              </w:tc>
            </w:tr>
            <w:tr w14:paraId="12160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67A7240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72A37AF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3FD9F27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774" w:type="pct"/>
                  <w:tcBorders>
                    <w:tl2br w:val="nil"/>
                    <w:tr2bl w:val="nil"/>
                  </w:tcBorders>
                  <w:vAlign w:val="center"/>
                </w:tcPr>
                <w:p w14:paraId="66EDDB7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2.55</w:t>
                  </w:r>
                  <w:r>
                    <w:rPr>
                      <w:rFonts w:hint="default"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047B507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63.5 </w:t>
                  </w:r>
                </w:p>
              </w:tc>
              <w:tc>
                <w:tcPr>
                  <w:tcW w:w="2635" w:type="dxa"/>
                  <w:tcBorders>
                    <w:tl2br w:val="nil"/>
                    <w:tr2bl w:val="nil"/>
                  </w:tcBorders>
                  <w:vAlign w:val="center"/>
                </w:tcPr>
                <w:p w14:paraId="43CF938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0.162 </w:t>
                  </w:r>
                </w:p>
              </w:tc>
            </w:tr>
            <w:tr w14:paraId="3252D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316579B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1FEF3B6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76B98B9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774" w:type="pct"/>
                  <w:tcBorders>
                    <w:tl2br w:val="nil"/>
                    <w:tr2bl w:val="nil"/>
                  </w:tcBorders>
                  <w:vAlign w:val="center"/>
                </w:tcPr>
                <w:p w14:paraId="296B21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2.49</w:t>
                  </w:r>
                  <w:r>
                    <w:rPr>
                      <w:rFonts w:hint="default"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1DE60B6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62.7 </w:t>
                  </w:r>
                </w:p>
              </w:tc>
              <w:tc>
                <w:tcPr>
                  <w:tcW w:w="2635" w:type="dxa"/>
                  <w:tcBorders>
                    <w:tl2br w:val="nil"/>
                    <w:tr2bl w:val="nil"/>
                  </w:tcBorders>
                  <w:vAlign w:val="center"/>
                </w:tcPr>
                <w:p w14:paraId="2AA283D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0.156 </w:t>
                  </w:r>
                </w:p>
              </w:tc>
            </w:tr>
            <w:tr w14:paraId="2AA3D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08A5F5C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28CCD53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3EAF4DC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774" w:type="pct"/>
                  <w:tcBorders>
                    <w:tl2br w:val="nil"/>
                    <w:tr2bl w:val="nil"/>
                  </w:tcBorders>
                  <w:vAlign w:val="center"/>
                </w:tcPr>
                <w:p w14:paraId="0C722F9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2.52</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135E327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62.5 </w:t>
                  </w:r>
                </w:p>
              </w:tc>
              <w:tc>
                <w:tcPr>
                  <w:tcW w:w="2635" w:type="dxa"/>
                  <w:tcBorders>
                    <w:tl2br w:val="nil"/>
                    <w:tr2bl w:val="nil"/>
                  </w:tcBorders>
                  <w:vAlign w:val="center"/>
                </w:tcPr>
                <w:p w14:paraId="4E72FA8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0.157 </w:t>
                  </w:r>
                </w:p>
              </w:tc>
            </w:tr>
            <w:tr w14:paraId="297B1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restart"/>
                  <w:tcBorders>
                    <w:tl2br w:val="nil"/>
                    <w:tr2bl w:val="nil"/>
                  </w:tcBorders>
                  <w:vAlign w:val="center"/>
                </w:tcPr>
                <w:p w14:paraId="73D3E0C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封口废气二级活性炭吸附装置+15m高排气筒（P1）出口</w:t>
                  </w:r>
                </w:p>
              </w:tc>
              <w:tc>
                <w:tcPr>
                  <w:tcW w:w="571" w:type="pct"/>
                  <w:vMerge w:val="continue"/>
                  <w:tcBorders>
                    <w:tl2br w:val="nil"/>
                    <w:tr2bl w:val="nil"/>
                  </w:tcBorders>
                  <w:vAlign w:val="center"/>
                </w:tcPr>
                <w:p w14:paraId="7B3834A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4601458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774" w:type="pct"/>
                  <w:tcBorders>
                    <w:tl2br w:val="nil"/>
                    <w:tr2bl w:val="nil"/>
                  </w:tcBorders>
                  <w:vAlign w:val="center"/>
                </w:tcPr>
                <w:p w14:paraId="29D94FF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2.71</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6A68BE1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5.31</w:t>
                  </w:r>
                </w:p>
              </w:tc>
              <w:tc>
                <w:tcPr>
                  <w:tcW w:w="2635" w:type="dxa"/>
                  <w:tcBorders>
                    <w:tl2br w:val="nil"/>
                    <w:tr2bl w:val="nil"/>
                  </w:tcBorders>
                  <w:vAlign w:val="center"/>
                </w:tcPr>
                <w:p w14:paraId="3818765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0.0144 </w:t>
                  </w:r>
                </w:p>
              </w:tc>
            </w:tr>
            <w:tr w14:paraId="76F48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1FE5887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0974F4B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0A1425F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774" w:type="pct"/>
                  <w:tcBorders>
                    <w:tl2br w:val="nil"/>
                    <w:tr2bl w:val="nil"/>
                  </w:tcBorders>
                  <w:vAlign w:val="center"/>
                </w:tcPr>
                <w:p w14:paraId="2E737DA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2.75</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7752A6B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5.37</w:t>
                  </w:r>
                </w:p>
              </w:tc>
              <w:tc>
                <w:tcPr>
                  <w:tcW w:w="2635" w:type="dxa"/>
                  <w:tcBorders>
                    <w:tl2br w:val="nil"/>
                    <w:tr2bl w:val="nil"/>
                  </w:tcBorders>
                  <w:vAlign w:val="center"/>
                </w:tcPr>
                <w:p w14:paraId="3AFF4F9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0.0148 </w:t>
                  </w:r>
                </w:p>
              </w:tc>
            </w:tr>
            <w:tr w14:paraId="1C116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1B49C4B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496A30F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02D1EB0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774" w:type="pct"/>
                  <w:tcBorders>
                    <w:tl2br w:val="nil"/>
                    <w:tr2bl w:val="nil"/>
                  </w:tcBorders>
                  <w:vAlign w:val="center"/>
                </w:tcPr>
                <w:p w14:paraId="374347C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2.68</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13FCBD5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5.15</w:t>
                  </w:r>
                </w:p>
              </w:tc>
              <w:tc>
                <w:tcPr>
                  <w:tcW w:w="2635" w:type="dxa"/>
                  <w:tcBorders>
                    <w:tl2br w:val="nil"/>
                    <w:tr2bl w:val="nil"/>
                  </w:tcBorders>
                  <w:vAlign w:val="center"/>
                </w:tcPr>
                <w:p w14:paraId="5620E49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0.0138 </w:t>
                  </w:r>
                </w:p>
              </w:tc>
            </w:tr>
            <w:tr w14:paraId="0EBA0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2" w:type="pct"/>
                  <w:vMerge w:val="continue"/>
                  <w:tcBorders>
                    <w:tl2br w:val="nil"/>
                    <w:tr2bl w:val="nil"/>
                  </w:tcBorders>
                  <w:vAlign w:val="center"/>
                </w:tcPr>
                <w:p w14:paraId="25730B8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571" w:type="pct"/>
                  <w:vMerge w:val="continue"/>
                  <w:tcBorders>
                    <w:tl2br w:val="nil"/>
                    <w:tr2bl w:val="nil"/>
                  </w:tcBorders>
                  <w:vAlign w:val="center"/>
                </w:tcPr>
                <w:p w14:paraId="26A0F04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404" w:type="pct"/>
                  <w:tcBorders>
                    <w:tl2br w:val="nil"/>
                    <w:tr2bl w:val="nil"/>
                  </w:tcBorders>
                  <w:vAlign w:val="center"/>
                </w:tcPr>
                <w:p w14:paraId="59B4895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774" w:type="pct"/>
                  <w:tcBorders>
                    <w:tl2br w:val="nil"/>
                    <w:tr2bl w:val="nil"/>
                  </w:tcBorders>
                  <w:vAlign w:val="center"/>
                </w:tcPr>
                <w:p w14:paraId="32AB1E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2.71</w:t>
                  </w:r>
                  <w:r>
                    <w:rPr>
                      <w:rFonts w:hint="default" w:ascii="Times New Roman" w:hAnsi="Times New Roman" w:eastAsia="宋体" w:cs="Times New Roman"/>
                      <w:sz w:val="21"/>
                      <w:szCs w:val="21"/>
                      <w:vertAlign w:val="baseline"/>
                      <w:lang w:val="en-US" w:eastAsia="zh-CN"/>
                    </w:rPr>
                    <w:t>×10</w:t>
                  </w:r>
                  <w:r>
                    <w:rPr>
                      <w:rFonts w:hint="eastAsia" w:ascii="Times New Roman" w:hAnsi="Times New Roman" w:eastAsia="宋体" w:cs="Times New Roman"/>
                      <w:sz w:val="21"/>
                      <w:szCs w:val="21"/>
                      <w:vertAlign w:val="superscript"/>
                      <w:lang w:val="en-US" w:eastAsia="zh-CN"/>
                    </w:rPr>
                    <w:t>3</w:t>
                  </w:r>
                </w:p>
              </w:tc>
              <w:tc>
                <w:tcPr>
                  <w:tcW w:w="2633" w:type="dxa"/>
                  <w:tcBorders>
                    <w:tl2br w:val="nil"/>
                    <w:tr2bl w:val="nil"/>
                  </w:tcBorders>
                  <w:vAlign w:val="center"/>
                </w:tcPr>
                <w:p w14:paraId="39D9B40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5.28 </w:t>
                  </w:r>
                </w:p>
              </w:tc>
              <w:tc>
                <w:tcPr>
                  <w:tcW w:w="2635" w:type="dxa"/>
                  <w:tcBorders>
                    <w:tl2br w:val="nil"/>
                    <w:tr2bl w:val="nil"/>
                  </w:tcBorders>
                  <w:vAlign w:val="center"/>
                </w:tcPr>
                <w:p w14:paraId="2A6723C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 xml:space="preserve">0.0143 </w:t>
                  </w:r>
                </w:p>
              </w:tc>
            </w:tr>
            <w:tr w14:paraId="5FA68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2472" w:type="pct"/>
                  <w:gridSpan w:val="4"/>
                  <w:tcBorders>
                    <w:tl2br w:val="nil"/>
                    <w:tr2bl w:val="nil"/>
                  </w:tcBorders>
                  <w:vAlign w:val="center"/>
                </w:tcPr>
                <w:p w14:paraId="6E59C38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去除率（%）</w:t>
                  </w:r>
                </w:p>
              </w:tc>
              <w:tc>
                <w:tcPr>
                  <w:tcW w:w="2527" w:type="pct"/>
                  <w:gridSpan w:val="2"/>
                  <w:tcBorders>
                    <w:tl2br w:val="nil"/>
                    <w:tr2bl w:val="nil"/>
                  </w:tcBorders>
                  <w:vAlign w:val="center"/>
                </w:tcPr>
                <w:p w14:paraId="35FC91C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90.9</w:t>
                  </w:r>
                </w:p>
              </w:tc>
            </w:tr>
          </w:tbl>
          <w:p w14:paraId="00F58032">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b/>
                <w:bCs/>
                <w:color w:val="000000"/>
                <w:sz w:val="24"/>
                <w:u w:val="single"/>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有组织非甲烷总烃排放浓度为</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4.9</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37mg/m3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《关于全省开展工业企业挥发性有机物专项治理工作中排放建议值的通知》（豫环攻坚办[2017]162号）（80mg/m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ACB3F9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val="0"/>
                <w:bCs/>
                <w:sz w:val="24"/>
                <w:szCs w:val="24"/>
                <w:lang w:val="en-US" w:eastAsia="zh-CN"/>
              </w:rPr>
              <w:t>无组织排放监测结果</w:t>
            </w:r>
            <w:r>
              <w:rPr>
                <w:rFonts w:hint="eastAsia" w:ascii="Times New Roman" w:hAnsi="Times New Roman" w:cs="Times New Roman" w:eastAsiaTheme="minorEastAsia"/>
                <w:b w:val="0"/>
                <w:bCs/>
                <w:sz w:val="24"/>
                <w:szCs w:val="24"/>
                <w:lang w:val="en-US" w:eastAsia="zh-CN"/>
              </w:rPr>
              <w:t>：</w:t>
            </w:r>
          </w:p>
          <w:p w14:paraId="2ED42CC9">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 xml:space="preserve">表18 </w:t>
            </w:r>
            <w:r>
              <w:rPr>
                <w:rFonts w:hint="default" w:ascii="Times New Roman" w:hAnsi="Times New Roman" w:cs="Times New Roman" w:eastAsiaTheme="minorEastAsia"/>
                <w:b/>
                <w:bCs/>
                <w:color w:val="auto"/>
                <w:kern w:val="2"/>
                <w:sz w:val="21"/>
                <w:szCs w:val="21"/>
                <w:lang w:val="en-US" w:eastAsia="zh-CN" w:bidi="ar-SA"/>
              </w:rPr>
              <w:t xml:space="preserve"> 无组织</w:t>
            </w:r>
            <w:r>
              <w:rPr>
                <w:rFonts w:hint="eastAsia" w:ascii="Times New Roman" w:hAnsi="Times New Roman" w:cs="Times New Roman" w:eastAsiaTheme="minorEastAsia"/>
                <w:b/>
                <w:bCs/>
                <w:color w:val="auto"/>
                <w:kern w:val="2"/>
                <w:sz w:val="21"/>
                <w:szCs w:val="21"/>
                <w:lang w:val="en-US" w:eastAsia="zh-CN" w:bidi="ar-SA"/>
              </w:rPr>
              <w:t>废气</w:t>
            </w:r>
            <w:r>
              <w:rPr>
                <w:rFonts w:hint="default" w:ascii="Times New Roman" w:hAnsi="Times New Roman" w:cs="Times New Roman" w:eastAsiaTheme="minorEastAsia"/>
                <w:b/>
                <w:bCs/>
                <w:color w:val="auto"/>
                <w:kern w:val="2"/>
                <w:sz w:val="21"/>
                <w:szCs w:val="21"/>
                <w:lang w:val="en-US" w:eastAsia="zh-CN" w:bidi="ar-SA"/>
              </w:rPr>
              <w:t>监测结果      单位：mg/m</w:t>
            </w:r>
            <w:r>
              <w:rPr>
                <w:rFonts w:hint="default" w:ascii="Times New Roman" w:hAnsi="Times New Roman" w:cs="Times New Roman" w:eastAsiaTheme="minorEastAsia"/>
                <w:b/>
                <w:bCs/>
                <w:color w:val="auto"/>
                <w:kern w:val="2"/>
                <w:sz w:val="21"/>
                <w:szCs w:val="21"/>
                <w:vertAlign w:val="superscript"/>
                <w:lang w:val="en-US" w:eastAsia="zh-CN" w:bidi="ar-SA"/>
              </w:rPr>
              <w:t>3</w:t>
            </w:r>
          </w:p>
          <w:tbl>
            <w:tblPr>
              <w:tblStyle w:val="31"/>
              <w:tblW w:w="498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712"/>
              <w:gridCol w:w="1736"/>
              <w:gridCol w:w="1855"/>
              <w:gridCol w:w="3385"/>
            </w:tblGrid>
            <w:tr w14:paraId="6F46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tcBorders>
                    <w:tl2br w:val="nil"/>
                    <w:tr2bl w:val="nil"/>
                  </w:tcBorders>
                  <w:vAlign w:val="center"/>
                </w:tcPr>
                <w:p w14:paraId="7A9BDB2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采样</w:t>
                  </w:r>
                  <w:r>
                    <w:rPr>
                      <w:rFonts w:hint="default" w:ascii="Times New Roman" w:hAnsi="Times New Roman" w:eastAsia="宋体" w:cs="Times New Roman"/>
                      <w:sz w:val="21"/>
                      <w:szCs w:val="21"/>
                      <w:vertAlign w:val="baseline"/>
                      <w:lang w:val="en-US" w:eastAsia="zh-CN"/>
                    </w:rPr>
                    <w:t>日期</w:t>
                  </w:r>
                </w:p>
              </w:tc>
              <w:tc>
                <w:tcPr>
                  <w:tcW w:w="999" w:type="pct"/>
                  <w:tcBorders>
                    <w:tl2br w:val="nil"/>
                    <w:tr2bl w:val="nil"/>
                  </w:tcBorders>
                  <w:vAlign w:val="center"/>
                </w:tcPr>
                <w:p w14:paraId="7BDB40D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检测频次</w:t>
                  </w:r>
                </w:p>
              </w:tc>
              <w:tc>
                <w:tcPr>
                  <w:tcW w:w="1067" w:type="pct"/>
                  <w:tcBorders>
                    <w:tl2br w:val="nil"/>
                    <w:tr2bl w:val="nil"/>
                  </w:tcBorders>
                  <w:vAlign w:val="center"/>
                </w:tcPr>
                <w:p w14:paraId="287F025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检测点位</w:t>
                  </w:r>
                </w:p>
              </w:tc>
              <w:tc>
                <w:tcPr>
                  <w:tcW w:w="1948" w:type="pct"/>
                  <w:tcBorders>
                    <w:tl2br w:val="nil"/>
                    <w:tr2bl w:val="nil"/>
                  </w:tcBorders>
                  <w:vAlign w:val="center"/>
                </w:tcPr>
                <w:p w14:paraId="742649B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非甲烷总烃</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r>
            <w:tr w14:paraId="101B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3" w:hRule="atLeast"/>
              </w:trPr>
              <w:tc>
                <w:tcPr>
                  <w:tcW w:w="985" w:type="pct"/>
                  <w:vMerge w:val="restart"/>
                  <w:tcBorders>
                    <w:tl2br w:val="nil"/>
                    <w:tr2bl w:val="nil"/>
                  </w:tcBorders>
                  <w:vAlign w:val="center"/>
                </w:tcPr>
                <w:p w14:paraId="0CA58D3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2025.1.2</w:t>
                  </w:r>
                </w:p>
              </w:tc>
              <w:tc>
                <w:tcPr>
                  <w:tcW w:w="999" w:type="pct"/>
                  <w:vMerge w:val="restart"/>
                  <w:tcBorders>
                    <w:tl2br w:val="nil"/>
                    <w:tr2bl w:val="nil"/>
                  </w:tcBorders>
                  <w:vAlign w:val="center"/>
                </w:tcPr>
                <w:p w14:paraId="0F4F692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67" w:type="pct"/>
                  <w:tcBorders>
                    <w:tl2br w:val="nil"/>
                    <w:tr2bl w:val="nil"/>
                  </w:tcBorders>
                  <w:vAlign w:val="center"/>
                </w:tcPr>
                <w:p w14:paraId="52845E2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w:t>
                  </w:r>
                </w:p>
              </w:tc>
              <w:tc>
                <w:tcPr>
                  <w:tcW w:w="1948" w:type="pct"/>
                  <w:tcBorders>
                    <w:tl2br w:val="nil"/>
                    <w:tr2bl w:val="nil"/>
                  </w:tcBorders>
                  <w:vAlign w:val="center"/>
                </w:tcPr>
                <w:p w14:paraId="5024365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0.44</w:t>
                  </w:r>
                </w:p>
              </w:tc>
            </w:tr>
            <w:tr w14:paraId="12B6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90" w:hRule="atLeast"/>
              </w:trPr>
              <w:tc>
                <w:tcPr>
                  <w:tcW w:w="985" w:type="pct"/>
                  <w:vMerge w:val="continue"/>
                  <w:tcBorders>
                    <w:tl2br w:val="nil"/>
                    <w:tr2bl w:val="nil"/>
                  </w:tcBorders>
                </w:tcPr>
                <w:p w14:paraId="0BAB04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4B55F14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1F99E7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下风向1#</w:t>
                  </w:r>
                </w:p>
              </w:tc>
              <w:tc>
                <w:tcPr>
                  <w:tcW w:w="1948" w:type="pct"/>
                  <w:tcBorders>
                    <w:tl2br w:val="nil"/>
                    <w:tr2bl w:val="nil"/>
                  </w:tcBorders>
                  <w:vAlign w:val="center"/>
                </w:tcPr>
                <w:p w14:paraId="5BCC91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0.54</w:t>
                  </w:r>
                </w:p>
              </w:tc>
            </w:tr>
            <w:tr w14:paraId="5E6D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90" w:hRule="atLeast"/>
              </w:trPr>
              <w:tc>
                <w:tcPr>
                  <w:tcW w:w="985" w:type="pct"/>
                  <w:vMerge w:val="continue"/>
                  <w:tcBorders>
                    <w:tl2br w:val="nil"/>
                    <w:tr2bl w:val="nil"/>
                  </w:tcBorders>
                </w:tcPr>
                <w:p w14:paraId="4466597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5D669F0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68A4D14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下风向2#</w:t>
                  </w:r>
                </w:p>
              </w:tc>
              <w:tc>
                <w:tcPr>
                  <w:tcW w:w="1948" w:type="pct"/>
                  <w:tcBorders>
                    <w:tl2br w:val="nil"/>
                    <w:tr2bl w:val="nil"/>
                  </w:tcBorders>
                  <w:vAlign w:val="center"/>
                </w:tcPr>
                <w:p w14:paraId="74AC1BA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0.55</w:t>
                  </w:r>
                </w:p>
              </w:tc>
            </w:tr>
            <w:tr w14:paraId="7680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90" w:hRule="atLeast"/>
              </w:trPr>
              <w:tc>
                <w:tcPr>
                  <w:tcW w:w="985" w:type="pct"/>
                  <w:vMerge w:val="continue"/>
                  <w:tcBorders>
                    <w:tl2br w:val="nil"/>
                    <w:tr2bl w:val="nil"/>
                  </w:tcBorders>
                </w:tcPr>
                <w:p w14:paraId="63C7D3E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3CAF9D0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3FAB6E7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948" w:type="pct"/>
                  <w:tcBorders>
                    <w:tl2br w:val="nil"/>
                    <w:tr2bl w:val="nil"/>
                  </w:tcBorders>
                  <w:vAlign w:val="center"/>
                </w:tcPr>
                <w:p w14:paraId="124CD11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0.61</w:t>
                  </w:r>
                </w:p>
              </w:tc>
            </w:tr>
            <w:tr w14:paraId="32E1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vAlign w:val="center"/>
                </w:tcPr>
                <w:p w14:paraId="7E63153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restart"/>
                  <w:tcBorders>
                    <w:tl2br w:val="nil"/>
                    <w:tr2bl w:val="nil"/>
                  </w:tcBorders>
                  <w:vAlign w:val="center"/>
                </w:tcPr>
                <w:p w14:paraId="19782E0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067" w:type="pct"/>
                  <w:tcBorders>
                    <w:tl2br w:val="nil"/>
                    <w:tr2bl w:val="nil"/>
                  </w:tcBorders>
                  <w:vAlign w:val="center"/>
                </w:tcPr>
                <w:p w14:paraId="3B7B047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w:t>
                  </w:r>
                </w:p>
              </w:tc>
              <w:tc>
                <w:tcPr>
                  <w:tcW w:w="1948" w:type="pct"/>
                  <w:tcBorders>
                    <w:tl2br w:val="nil"/>
                    <w:tr2bl w:val="nil"/>
                  </w:tcBorders>
                  <w:vAlign w:val="center"/>
                </w:tcPr>
                <w:p w14:paraId="47A178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0.48</w:t>
                  </w:r>
                </w:p>
              </w:tc>
            </w:tr>
            <w:tr w14:paraId="0A03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5147C72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08A2ED8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3E9C2CB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下风向1#</w:t>
                  </w:r>
                </w:p>
              </w:tc>
              <w:tc>
                <w:tcPr>
                  <w:tcW w:w="1948" w:type="pct"/>
                  <w:tcBorders>
                    <w:tl2br w:val="nil"/>
                    <w:tr2bl w:val="nil"/>
                  </w:tcBorders>
                  <w:vAlign w:val="center"/>
                </w:tcPr>
                <w:p w14:paraId="519BE9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0.53</w:t>
                  </w:r>
                </w:p>
              </w:tc>
            </w:tr>
            <w:tr w14:paraId="0B2F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79F489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4CCDE6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5B6A512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下风向2#</w:t>
                  </w:r>
                </w:p>
              </w:tc>
              <w:tc>
                <w:tcPr>
                  <w:tcW w:w="1948" w:type="pct"/>
                  <w:tcBorders>
                    <w:tl2br w:val="nil"/>
                    <w:tr2bl w:val="nil"/>
                  </w:tcBorders>
                  <w:vAlign w:val="center"/>
                </w:tcPr>
                <w:p w14:paraId="1148DD2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0.50</w:t>
                  </w:r>
                </w:p>
              </w:tc>
            </w:tr>
            <w:tr w14:paraId="3562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31E7769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3266123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5590360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948" w:type="pct"/>
                  <w:tcBorders>
                    <w:tl2br w:val="nil"/>
                    <w:tr2bl w:val="nil"/>
                  </w:tcBorders>
                  <w:vAlign w:val="center"/>
                </w:tcPr>
                <w:p w14:paraId="31328DC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0.62</w:t>
                  </w:r>
                </w:p>
              </w:tc>
            </w:tr>
            <w:tr w14:paraId="769B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vAlign w:val="center"/>
                </w:tcPr>
                <w:p w14:paraId="0FACC9C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restart"/>
                  <w:tcBorders>
                    <w:tl2br w:val="nil"/>
                    <w:tr2bl w:val="nil"/>
                  </w:tcBorders>
                  <w:vAlign w:val="center"/>
                </w:tcPr>
                <w:p w14:paraId="56DA4D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067" w:type="pct"/>
                  <w:tcBorders>
                    <w:tl2br w:val="nil"/>
                    <w:tr2bl w:val="nil"/>
                  </w:tcBorders>
                  <w:vAlign w:val="center"/>
                </w:tcPr>
                <w:p w14:paraId="7040DA5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w:t>
                  </w:r>
                </w:p>
              </w:tc>
              <w:tc>
                <w:tcPr>
                  <w:tcW w:w="1948" w:type="pct"/>
                  <w:tcBorders>
                    <w:tl2br w:val="nil"/>
                    <w:tr2bl w:val="nil"/>
                  </w:tcBorders>
                  <w:vAlign w:val="center"/>
                </w:tcPr>
                <w:p w14:paraId="1BE42BE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0.46</w:t>
                  </w:r>
                </w:p>
              </w:tc>
            </w:tr>
            <w:tr w14:paraId="4AD2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0ED99C5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4A93A33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5CCFDD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下风向1#</w:t>
                  </w:r>
                </w:p>
              </w:tc>
              <w:tc>
                <w:tcPr>
                  <w:tcW w:w="1948" w:type="pct"/>
                  <w:tcBorders>
                    <w:tl2br w:val="nil"/>
                    <w:tr2bl w:val="nil"/>
                  </w:tcBorders>
                  <w:vAlign w:val="center"/>
                </w:tcPr>
                <w:p w14:paraId="1126027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0.54</w:t>
                  </w:r>
                </w:p>
              </w:tc>
            </w:tr>
            <w:tr w14:paraId="0AF3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144D548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149B4DF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41E801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下风向2#</w:t>
                  </w:r>
                </w:p>
              </w:tc>
              <w:tc>
                <w:tcPr>
                  <w:tcW w:w="1948" w:type="pct"/>
                  <w:tcBorders>
                    <w:tl2br w:val="nil"/>
                    <w:tr2bl w:val="nil"/>
                  </w:tcBorders>
                  <w:vAlign w:val="center"/>
                </w:tcPr>
                <w:p w14:paraId="3A9344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0.51</w:t>
                  </w:r>
                </w:p>
              </w:tc>
            </w:tr>
            <w:tr w14:paraId="349F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0225388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tcPr>
                <w:p w14:paraId="20D970A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1B67A20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948" w:type="pct"/>
                  <w:tcBorders>
                    <w:tl2br w:val="nil"/>
                    <w:tr2bl w:val="nil"/>
                  </w:tcBorders>
                  <w:vAlign w:val="center"/>
                </w:tcPr>
                <w:p w14:paraId="3942FD5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0.65</w:t>
                  </w:r>
                </w:p>
              </w:tc>
            </w:tr>
            <w:tr w14:paraId="1C8F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restart"/>
                  <w:tcBorders>
                    <w:tl2br w:val="nil"/>
                    <w:tr2bl w:val="nil"/>
                  </w:tcBorders>
                  <w:vAlign w:val="center"/>
                </w:tcPr>
                <w:p w14:paraId="2D335AF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2025.1.3</w:t>
                  </w:r>
                </w:p>
              </w:tc>
              <w:tc>
                <w:tcPr>
                  <w:tcW w:w="999" w:type="pct"/>
                  <w:vMerge w:val="restart"/>
                  <w:tcBorders>
                    <w:tl2br w:val="nil"/>
                    <w:tr2bl w:val="nil"/>
                  </w:tcBorders>
                  <w:vAlign w:val="center"/>
                </w:tcPr>
                <w:p w14:paraId="20867F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67" w:type="pct"/>
                  <w:tcBorders>
                    <w:tl2br w:val="nil"/>
                    <w:tr2bl w:val="nil"/>
                  </w:tcBorders>
                  <w:vAlign w:val="center"/>
                </w:tcPr>
                <w:p w14:paraId="6C20875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w:t>
                  </w:r>
                </w:p>
              </w:tc>
              <w:tc>
                <w:tcPr>
                  <w:tcW w:w="1948" w:type="pct"/>
                  <w:tcBorders>
                    <w:tl2br w:val="nil"/>
                    <w:tr2bl w:val="nil"/>
                  </w:tcBorders>
                  <w:vAlign w:val="center"/>
                </w:tcPr>
                <w:p w14:paraId="6AC75E4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0.48</w:t>
                  </w:r>
                </w:p>
              </w:tc>
            </w:tr>
            <w:tr w14:paraId="55B0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2499C17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1595C7B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07C3EBF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下风向1#</w:t>
                  </w:r>
                </w:p>
              </w:tc>
              <w:tc>
                <w:tcPr>
                  <w:tcW w:w="1948" w:type="pct"/>
                  <w:tcBorders>
                    <w:tl2br w:val="nil"/>
                    <w:tr2bl w:val="nil"/>
                  </w:tcBorders>
                  <w:vAlign w:val="center"/>
                </w:tcPr>
                <w:p w14:paraId="7D0A4F1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0.55</w:t>
                  </w:r>
                </w:p>
              </w:tc>
            </w:tr>
            <w:tr w14:paraId="53DB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2F87D98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5DCD189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1F264F9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下风向2#</w:t>
                  </w:r>
                </w:p>
              </w:tc>
              <w:tc>
                <w:tcPr>
                  <w:tcW w:w="1948" w:type="pct"/>
                  <w:tcBorders>
                    <w:tl2br w:val="nil"/>
                    <w:tr2bl w:val="nil"/>
                  </w:tcBorders>
                  <w:vAlign w:val="center"/>
                </w:tcPr>
                <w:p w14:paraId="3C57306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0.56</w:t>
                  </w:r>
                </w:p>
              </w:tc>
            </w:tr>
            <w:tr w14:paraId="0893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5A13F0F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313B794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56B05AD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948" w:type="pct"/>
                  <w:tcBorders>
                    <w:tl2br w:val="nil"/>
                    <w:tr2bl w:val="nil"/>
                  </w:tcBorders>
                  <w:vAlign w:val="center"/>
                </w:tcPr>
                <w:p w14:paraId="2B94564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0.68</w:t>
                  </w:r>
                </w:p>
              </w:tc>
            </w:tr>
            <w:tr w14:paraId="3779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5F58882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restart"/>
                  <w:tcBorders>
                    <w:tl2br w:val="nil"/>
                    <w:tr2bl w:val="nil"/>
                  </w:tcBorders>
                  <w:vAlign w:val="center"/>
                </w:tcPr>
                <w:p w14:paraId="092E8A4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067" w:type="pct"/>
                  <w:tcBorders>
                    <w:tl2br w:val="nil"/>
                    <w:tr2bl w:val="nil"/>
                  </w:tcBorders>
                  <w:vAlign w:val="center"/>
                </w:tcPr>
                <w:p w14:paraId="6CA743C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w:t>
                  </w:r>
                </w:p>
              </w:tc>
              <w:tc>
                <w:tcPr>
                  <w:tcW w:w="1948" w:type="pct"/>
                  <w:tcBorders>
                    <w:tl2br w:val="nil"/>
                    <w:tr2bl w:val="nil"/>
                  </w:tcBorders>
                  <w:vAlign w:val="center"/>
                </w:tcPr>
                <w:p w14:paraId="68290FD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0.41</w:t>
                  </w:r>
                </w:p>
              </w:tc>
            </w:tr>
            <w:tr w14:paraId="5FB0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62AAF79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282C954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74A77F2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下风向1#</w:t>
                  </w:r>
                </w:p>
              </w:tc>
              <w:tc>
                <w:tcPr>
                  <w:tcW w:w="1948" w:type="pct"/>
                  <w:tcBorders>
                    <w:tl2br w:val="nil"/>
                    <w:tr2bl w:val="nil"/>
                  </w:tcBorders>
                  <w:vAlign w:val="center"/>
                </w:tcPr>
                <w:p w14:paraId="5AFAA36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0.56</w:t>
                  </w:r>
                </w:p>
              </w:tc>
            </w:tr>
            <w:tr w14:paraId="5FB3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59B8DEA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649331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49939E5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下风向2#</w:t>
                  </w:r>
                </w:p>
              </w:tc>
              <w:tc>
                <w:tcPr>
                  <w:tcW w:w="1948" w:type="pct"/>
                  <w:tcBorders>
                    <w:tl2br w:val="nil"/>
                    <w:tr2bl w:val="nil"/>
                  </w:tcBorders>
                  <w:vAlign w:val="center"/>
                </w:tcPr>
                <w:p w14:paraId="4D4EA29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0.60</w:t>
                  </w:r>
                </w:p>
              </w:tc>
            </w:tr>
            <w:tr w14:paraId="7A08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503A718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07F7FA6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790CA2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948" w:type="pct"/>
                  <w:tcBorders>
                    <w:tl2br w:val="nil"/>
                    <w:tr2bl w:val="nil"/>
                  </w:tcBorders>
                  <w:vAlign w:val="center"/>
                </w:tcPr>
                <w:p w14:paraId="2AF21DD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0.69</w:t>
                  </w:r>
                </w:p>
              </w:tc>
            </w:tr>
            <w:tr w14:paraId="11AC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55C88FE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restart"/>
                  <w:tcBorders>
                    <w:tl2br w:val="nil"/>
                    <w:tr2bl w:val="nil"/>
                  </w:tcBorders>
                  <w:vAlign w:val="center"/>
                </w:tcPr>
                <w:p w14:paraId="5A255CB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067" w:type="pct"/>
                  <w:tcBorders>
                    <w:tl2br w:val="nil"/>
                    <w:tr2bl w:val="nil"/>
                  </w:tcBorders>
                  <w:vAlign w:val="center"/>
                </w:tcPr>
                <w:p w14:paraId="7A000E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上风向</w:t>
                  </w:r>
                </w:p>
              </w:tc>
              <w:tc>
                <w:tcPr>
                  <w:tcW w:w="1948" w:type="pct"/>
                  <w:tcBorders>
                    <w:tl2br w:val="nil"/>
                    <w:tr2bl w:val="nil"/>
                  </w:tcBorders>
                  <w:vAlign w:val="center"/>
                </w:tcPr>
                <w:p w14:paraId="5B30F0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0.47</w:t>
                  </w:r>
                </w:p>
              </w:tc>
            </w:tr>
            <w:tr w14:paraId="5CDB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6110554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1FB8C5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28DA2AA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下风向1#</w:t>
                  </w:r>
                </w:p>
              </w:tc>
              <w:tc>
                <w:tcPr>
                  <w:tcW w:w="1948" w:type="pct"/>
                  <w:tcBorders>
                    <w:tl2br w:val="nil"/>
                    <w:tr2bl w:val="nil"/>
                  </w:tcBorders>
                  <w:vAlign w:val="center"/>
                </w:tcPr>
                <w:p w14:paraId="32700EA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0.52</w:t>
                  </w:r>
                </w:p>
              </w:tc>
            </w:tr>
            <w:tr w14:paraId="23C4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549A40A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30D16B6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679058F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下风向2#</w:t>
                  </w:r>
                </w:p>
              </w:tc>
              <w:tc>
                <w:tcPr>
                  <w:tcW w:w="1948" w:type="pct"/>
                  <w:tcBorders>
                    <w:tl2br w:val="nil"/>
                    <w:tr2bl w:val="nil"/>
                  </w:tcBorders>
                  <w:vAlign w:val="center"/>
                </w:tcPr>
                <w:p w14:paraId="4B4D25E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0.50</w:t>
                  </w:r>
                </w:p>
              </w:tc>
            </w:tr>
            <w:tr w14:paraId="1BB8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12" w:hRule="atLeast"/>
              </w:trPr>
              <w:tc>
                <w:tcPr>
                  <w:tcW w:w="985" w:type="pct"/>
                  <w:vMerge w:val="continue"/>
                  <w:tcBorders>
                    <w:tl2br w:val="nil"/>
                    <w:tr2bl w:val="nil"/>
                  </w:tcBorders>
                </w:tcPr>
                <w:p w14:paraId="20D3E7C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999" w:type="pct"/>
                  <w:vMerge w:val="continue"/>
                  <w:tcBorders>
                    <w:tl2br w:val="nil"/>
                    <w:tr2bl w:val="nil"/>
                  </w:tcBorders>
                  <w:vAlign w:val="top"/>
                </w:tcPr>
                <w:p w14:paraId="062154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p>
              </w:tc>
              <w:tc>
                <w:tcPr>
                  <w:tcW w:w="1067" w:type="pct"/>
                  <w:tcBorders>
                    <w:tl2br w:val="nil"/>
                    <w:tr2bl w:val="nil"/>
                  </w:tcBorders>
                  <w:vAlign w:val="center"/>
                </w:tcPr>
                <w:p w14:paraId="25DB8A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下风向3#</w:t>
                  </w:r>
                </w:p>
              </w:tc>
              <w:tc>
                <w:tcPr>
                  <w:tcW w:w="1948" w:type="pct"/>
                  <w:tcBorders>
                    <w:tl2br w:val="nil"/>
                    <w:tr2bl w:val="nil"/>
                  </w:tcBorders>
                  <w:vAlign w:val="center"/>
                </w:tcPr>
                <w:p w14:paraId="042BEE7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0.69</w:t>
                  </w:r>
                </w:p>
              </w:tc>
            </w:tr>
          </w:tbl>
          <w:p w14:paraId="512E6BB3">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在0.41~0.69mg/m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p>
          <w:p w14:paraId="42720258">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14:paraId="57F1A844">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本项目厂界噪声监测结果见表</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19</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229CB13A">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ascii="Times New Roman" w:hAnsi="Times New Roman" w:cs="Times New Roman" w:eastAsiaTheme="minorEastAsia"/>
                <w:b/>
                <w:sz w:val="21"/>
                <w:szCs w:val="21"/>
                <w:lang w:val="en-US" w:eastAsia="zh-CN"/>
              </w:rPr>
              <w:t xml:space="preserve">19 </w:t>
            </w:r>
            <w:r>
              <w:rPr>
                <w:rFonts w:hint="default" w:ascii="Times New Roman" w:hAnsi="Times New Roman" w:cs="Times New Roman" w:eastAsiaTheme="minorEastAsia"/>
                <w:b/>
                <w:sz w:val="21"/>
                <w:szCs w:val="21"/>
              </w:rPr>
              <w:t xml:space="preserve"> 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30"/>
              <w:tblW w:w="4998" w:type="pct"/>
              <w:jc w:val="center"/>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63"/>
              <w:gridCol w:w="1641"/>
              <w:gridCol w:w="1641"/>
              <w:gridCol w:w="1641"/>
              <w:gridCol w:w="1642"/>
            </w:tblGrid>
            <w:tr w14:paraId="4555C6E8">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39" w:type="pct"/>
                  <w:tcBorders>
                    <w:left w:val="single" w:color="auto" w:sz="0" w:space="0"/>
                  </w:tcBorders>
                  <w:shd w:val="clear" w:color="auto" w:fill="auto"/>
                  <w:vAlign w:val="center"/>
                </w:tcPr>
                <w:p w14:paraId="5138084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采样</w:t>
                  </w:r>
                  <w:r>
                    <w:rPr>
                      <w:rFonts w:hint="default" w:ascii="Times New Roman" w:hAnsi="Times New Roman" w:eastAsia="宋体" w:cs="Times New Roman"/>
                      <w:sz w:val="21"/>
                      <w:szCs w:val="21"/>
                    </w:rPr>
                    <w:t>日期</w:t>
                  </w:r>
                </w:p>
              </w:tc>
              <w:tc>
                <w:tcPr>
                  <w:tcW w:w="1880" w:type="pct"/>
                  <w:gridSpan w:val="2"/>
                  <w:shd w:val="clear" w:color="auto" w:fill="auto"/>
                  <w:vAlign w:val="center"/>
                </w:tcPr>
                <w:p w14:paraId="2FD3C36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2025.1.2</w:t>
                  </w:r>
                </w:p>
              </w:tc>
              <w:tc>
                <w:tcPr>
                  <w:tcW w:w="1880" w:type="pct"/>
                  <w:gridSpan w:val="2"/>
                  <w:tcBorders>
                    <w:right w:val="single" w:color="000000" w:sz="4" w:space="0"/>
                  </w:tcBorders>
                  <w:shd w:val="clear" w:color="auto" w:fill="auto"/>
                  <w:vAlign w:val="center"/>
                </w:tcPr>
                <w:p w14:paraId="4EC8EC2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2025.1.3</w:t>
                  </w:r>
                </w:p>
              </w:tc>
            </w:tr>
            <w:tr w14:paraId="4B60452D">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39" w:type="pct"/>
                  <w:tcBorders>
                    <w:left w:val="single" w:color="000000" w:sz="4" w:space="0"/>
                  </w:tcBorders>
                  <w:shd w:val="clear" w:color="auto" w:fill="auto"/>
                  <w:vAlign w:val="center"/>
                </w:tcPr>
                <w:p w14:paraId="14AC979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940" w:type="pct"/>
                  <w:shd w:val="clear" w:color="auto" w:fill="auto"/>
                  <w:vAlign w:val="center"/>
                </w:tcPr>
                <w:p w14:paraId="7B1B391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昼间Leq[dB（A）]</w:t>
                  </w:r>
                </w:p>
              </w:tc>
              <w:tc>
                <w:tcPr>
                  <w:tcW w:w="940" w:type="pct"/>
                  <w:shd w:val="clear" w:color="auto" w:fill="auto"/>
                  <w:vAlign w:val="center"/>
                </w:tcPr>
                <w:p w14:paraId="7A2C982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夜间Leq[dB（A）]</w:t>
                  </w:r>
                </w:p>
              </w:tc>
              <w:tc>
                <w:tcPr>
                  <w:tcW w:w="940" w:type="pct"/>
                  <w:shd w:val="clear" w:color="auto" w:fill="auto"/>
                  <w:vAlign w:val="center"/>
                </w:tcPr>
                <w:p w14:paraId="3C4A278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昼间Leq[dB（A）]</w:t>
                  </w:r>
                </w:p>
              </w:tc>
              <w:tc>
                <w:tcPr>
                  <w:tcW w:w="940" w:type="pct"/>
                  <w:tcBorders>
                    <w:right w:val="single" w:color="000000" w:sz="4" w:space="0"/>
                  </w:tcBorders>
                  <w:shd w:val="clear" w:color="auto" w:fill="auto"/>
                  <w:vAlign w:val="center"/>
                </w:tcPr>
                <w:p w14:paraId="4802B14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夜间Leq[dB（A）]</w:t>
                  </w:r>
                </w:p>
              </w:tc>
            </w:tr>
            <w:tr w14:paraId="23D4BC54">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39" w:type="pct"/>
                  <w:tcBorders>
                    <w:left w:val="single" w:color="000000" w:sz="4" w:space="0"/>
                  </w:tcBorders>
                  <w:vAlign w:val="center"/>
                </w:tcPr>
                <w:p w14:paraId="53FF31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w:t>
                  </w:r>
                </w:p>
              </w:tc>
              <w:tc>
                <w:tcPr>
                  <w:tcW w:w="940" w:type="pct"/>
                  <w:vAlign w:val="center"/>
                </w:tcPr>
                <w:p w14:paraId="535A6CC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940" w:type="pct"/>
                  <w:vAlign w:val="center"/>
                </w:tcPr>
                <w:p w14:paraId="4417517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c>
                <w:tcPr>
                  <w:tcW w:w="940" w:type="pct"/>
                  <w:vAlign w:val="center"/>
                </w:tcPr>
                <w:p w14:paraId="7DC397F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940" w:type="pct"/>
                  <w:tcBorders>
                    <w:right w:val="single" w:color="000000" w:sz="4" w:space="0"/>
                  </w:tcBorders>
                  <w:vAlign w:val="center"/>
                </w:tcPr>
                <w:p w14:paraId="13B9308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w:t>
                  </w:r>
                </w:p>
              </w:tc>
            </w:tr>
            <w:tr w14:paraId="683EEDA1">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0" w:hRule="atLeast"/>
                <w:jc w:val="center"/>
              </w:trPr>
              <w:tc>
                <w:tcPr>
                  <w:tcW w:w="1239" w:type="pct"/>
                  <w:tcBorders>
                    <w:left w:val="single" w:color="000000" w:sz="4" w:space="0"/>
                  </w:tcBorders>
                  <w:vAlign w:val="center"/>
                </w:tcPr>
                <w:p w14:paraId="5A85CFD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w:t>
                  </w:r>
                </w:p>
              </w:tc>
              <w:tc>
                <w:tcPr>
                  <w:tcW w:w="940" w:type="pct"/>
                  <w:vAlign w:val="center"/>
                </w:tcPr>
                <w:p w14:paraId="2AA80C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940" w:type="pct"/>
                  <w:vAlign w:val="center"/>
                </w:tcPr>
                <w:p w14:paraId="5857DF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w:t>
                  </w:r>
                </w:p>
              </w:tc>
              <w:tc>
                <w:tcPr>
                  <w:tcW w:w="940" w:type="pct"/>
                  <w:vAlign w:val="center"/>
                </w:tcPr>
                <w:p w14:paraId="35106C2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940" w:type="pct"/>
                  <w:tcBorders>
                    <w:right w:val="single" w:color="000000" w:sz="4" w:space="0"/>
                  </w:tcBorders>
                  <w:vAlign w:val="center"/>
                </w:tcPr>
                <w:p w14:paraId="5207659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w:t>
                  </w:r>
                </w:p>
              </w:tc>
            </w:tr>
            <w:tr w14:paraId="26017221">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39" w:type="pct"/>
                  <w:tcBorders>
                    <w:left w:val="single" w:color="000000" w:sz="4" w:space="0"/>
                  </w:tcBorders>
                  <w:vAlign w:val="center"/>
                </w:tcPr>
                <w:p w14:paraId="1237707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w:t>
                  </w:r>
                </w:p>
              </w:tc>
              <w:tc>
                <w:tcPr>
                  <w:tcW w:w="940" w:type="pct"/>
                  <w:vAlign w:val="center"/>
                </w:tcPr>
                <w:p w14:paraId="3CC14FC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940" w:type="pct"/>
                  <w:vAlign w:val="center"/>
                </w:tcPr>
                <w:p w14:paraId="6821807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w:t>
                  </w:r>
                </w:p>
              </w:tc>
              <w:tc>
                <w:tcPr>
                  <w:tcW w:w="940" w:type="pct"/>
                  <w:vAlign w:val="center"/>
                </w:tcPr>
                <w:p w14:paraId="1FAD7A6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940" w:type="pct"/>
                  <w:tcBorders>
                    <w:right w:val="single" w:color="000000" w:sz="4" w:space="0"/>
                  </w:tcBorders>
                  <w:vAlign w:val="center"/>
                </w:tcPr>
                <w:p w14:paraId="1832CA0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r>
            <w:tr w14:paraId="3B35846A">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39" w:type="pct"/>
                  <w:tcBorders>
                    <w:left w:val="single" w:color="000000" w:sz="4" w:space="0"/>
                  </w:tcBorders>
                  <w:shd w:val="clear" w:color="auto" w:fill="auto"/>
                  <w:vAlign w:val="center"/>
                </w:tcPr>
                <w:p w14:paraId="7E84962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北厂界</w:t>
                  </w:r>
                </w:p>
              </w:tc>
              <w:tc>
                <w:tcPr>
                  <w:tcW w:w="940" w:type="pct"/>
                  <w:shd w:val="clear" w:color="auto" w:fill="auto"/>
                  <w:vAlign w:val="center"/>
                </w:tcPr>
                <w:p w14:paraId="1AC7E4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51</w:t>
                  </w:r>
                </w:p>
              </w:tc>
              <w:tc>
                <w:tcPr>
                  <w:tcW w:w="940" w:type="pct"/>
                  <w:shd w:val="clear" w:color="auto" w:fill="auto"/>
                  <w:vAlign w:val="center"/>
                </w:tcPr>
                <w:p w14:paraId="5A24834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42</w:t>
                  </w:r>
                </w:p>
              </w:tc>
              <w:tc>
                <w:tcPr>
                  <w:tcW w:w="940" w:type="pct"/>
                  <w:shd w:val="clear" w:color="auto" w:fill="auto"/>
                  <w:vAlign w:val="center"/>
                </w:tcPr>
                <w:p w14:paraId="660BC9E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52</w:t>
                  </w:r>
                </w:p>
              </w:tc>
              <w:tc>
                <w:tcPr>
                  <w:tcW w:w="940" w:type="pct"/>
                  <w:tcBorders>
                    <w:right w:val="single" w:color="000000" w:sz="4" w:space="0"/>
                  </w:tcBorders>
                  <w:shd w:val="clear" w:color="auto" w:fill="auto"/>
                  <w:vAlign w:val="center"/>
                </w:tcPr>
                <w:p w14:paraId="2D57BD2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41</w:t>
                  </w:r>
                </w:p>
              </w:tc>
            </w:tr>
          </w:tbl>
          <w:p w14:paraId="65F2A85D">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41-44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304E705">
            <w:pPr>
              <w:spacing w:before="62" w:beforeLines="20" w:line="360" w:lineRule="auto"/>
              <w:rPr>
                <w:rFonts w:hint="default" w:ascii="Times New Roman" w:hAnsi="Times New Roman" w:eastAsia="仿宋_GB2312" w:cs="Times New Roman"/>
                <w:color w:val="FF0000"/>
                <w:sz w:val="21"/>
                <w:szCs w:val="21"/>
                <w:lang w:val="en-US" w:eastAsia="zh-CN"/>
              </w:rPr>
            </w:pPr>
          </w:p>
          <w:p w14:paraId="1FC644EE">
            <w:pPr>
              <w:pStyle w:val="2"/>
              <w:rPr>
                <w:rFonts w:hint="default"/>
                <w:lang w:val="en-US" w:eastAsia="zh-CN"/>
              </w:rPr>
            </w:pPr>
          </w:p>
          <w:p w14:paraId="1E1510CE">
            <w:pPr>
              <w:rPr>
                <w:rFonts w:hint="default"/>
                <w:lang w:val="en-US" w:eastAsia="zh-CN"/>
              </w:rPr>
            </w:pPr>
          </w:p>
          <w:p w14:paraId="0CA9DA03">
            <w:pPr>
              <w:pStyle w:val="2"/>
              <w:rPr>
                <w:rFonts w:hint="default"/>
                <w:lang w:val="en-US" w:eastAsia="zh-CN"/>
              </w:rPr>
            </w:pPr>
          </w:p>
          <w:p w14:paraId="4E94DF28">
            <w:pPr>
              <w:rPr>
                <w:rFonts w:hint="default"/>
                <w:lang w:val="en-US" w:eastAsia="zh-CN"/>
              </w:rPr>
            </w:pPr>
          </w:p>
          <w:p w14:paraId="4D6CCBC2">
            <w:pPr>
              <w:pStyle w:val="2"/>
              <w:rPr>
                <w:rFonts w:hint="default"/>
                <w:lang w:val="en-US" w:eastAsia="zh-CN"/>
              </w:rPr>
            </w:pPr>
          </w:p>
          <w:p w14:paraId="5472733E">
            <w:pPr>
              <w:rPr>
                <w:rFonts w:hint="default"/>
                <w:lang w:val="en-US" w:eastAsia="zh-CN"/>
              </w:rPr>
            </w:pPr>
          </w:p>
          <w:p w14:paraId="71E0A5BE">
            <w:pPr>
              <w:pStyle w:val="2"/>
              <w:rPr>
                <w:rFonts w:hint="default"/>
                <w:lang w:val="en-US" w:eastAsia="zh-CN"/>
              </w:rPr>
            </w:pPr>
          </w:p>
          <w:p w14:paraId="55F14E41">
            <w:pPr>
              <w:rPr>
                <w:rFonts w:hint="default"/>
                <w:lang w:val="en-US" w:eastAsia="zh-CN"/>
              </w:rPr>
            </w:pPr>
          </w:p>
          <w:p w14:paraId="16010910">
            <w:pPr>
              <w:pStyle w:val="2"/>
              <w:rPr>
                <w:rFonts w:hint="default"/>
                <w:lang w:val="en-US" w:eastAsia="zh-CN"/>
              </w:rPr>
            </w:pPr>
          </w:p>
          <w:p w14:paraId="585D8F6B">
            <w:pPr>
              <w:rPr>
                <w:rFonts w:hint="default"/>
                <w:lang w:val="en-US" w:eastAsia="zh-CN"/>
              </w:rPr>
            </w:pPr>
          </w:p>
          <w:p w14:paraId="69295CE1">
            <w:pPr>
              <w:pStyle w:val="2"/>
              <w:rPr>
                <w:rFonts w:hint="default"/>
                <w:lang w:val="en-US" w:eastAsia="zh-CN"/>
              </w:rPr>
            </w:pPr>
          </w:p>
          <w:p w14:paraId="6268C621">
            <w:pPr>
              <w:rPr>
                <w:rFonts w:hint="default"/>
                <w:lang w:val="en-US" w:eastAsia="zh-CN"/>
              </w:rPr>
            </w:pPr>
          </w:p>
          <w:p w14:paraId="31E3283B">
            <w:pPr>
              <w:pStyle w:val="2"/>
              <w:rPr>
                <w:rFonts w:hint="default"/>
                <w:lang w:val="en-US" w:eastAsia="zh-CN"/>
              </w:rPr>
            </w:pPr>
          </w:p>
          <w:p w14:paraId="08A72FAD">
            <w:pPr>
              <w:rPr>
                <w:rFonts w:hint="default"/>
                <w:lang w:val="en-US" w:eastAsia="zh-CN"/>
              </w:rPr>
            </w:pPr>
          </w:p>
          <w:p w14:paraId="0FFCF8AF">
            <w:pPr>
              <w:pStyle w:val="2"/>
              <w:rPr>
                <w:rFonts w:hint="default"/>
                <w:lang w:val="en-US" w:eastAsia="zh-CN"/>
              </w:rPr>
            </w:pPr>
          </w:p>
          <w:p w14:paraId="14246340">
            <w:pPr>
              <w:rPr>
                <w:rFonts w:hint="default"/>
                <w:lang w:val="en-US" w:eastAsia="zh-CN"/>
              </w:rPr>
            </w:pPr>
          </w:p>
          <w:p w14:paraId="2CE97D66">
            <w:pPr>
              <w:spacing w:before="62" w:beforeLines="20" w:line="360" w:lineRule="auto"/>
              <w:rPr>
                <w:rFonts w:hint="eastAsia" w:ascii="Times New Roman" w:hAnsi="Times New Roman" w:eastAsia="仿宋_GB2312" w:cs="Times New Roman"/>
                <w:color w:val="FF0000"/>
                <w:sz w:val="21"/>
                <w:szCs w:val="21"/>
                <w:lang w:val="en-US" w:eastAsia="zh-CN"/>
              </w:rPr>
            </w:pPr>
          </w:p>
          <w:p w14:paraId="4B43E139">
            <w:pPr>
              <w:spacing w:before="62" w:beforeLines="20" w:line="360" w:lineRule="auto"/>
              <w:rPr>
                <w:rFonts w:hint="default" w:ascii="Times New Roman" w:hAnsi="Times New Roman" w:eastAsia="仿宋_GB2312" w:cs="Times New Roman"/>
                <w:color w:val="FF0000"/>
                <w:sz w:val="21"/>
                <w:szCs w:val="21"/>
                <w:lang w:val="en-US" w:eastAsia="zh-CN"/>
              </w:rPr>
            </w:pPr>
          </w:p>
        </w:tc>
      </w:tr>
    </w:tbl>
    <w:p w14:paraId="50D28500">
      <w:pPr>
        <w:pStyle w:val="15"/>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3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43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9" w:hRule="atLeast"/>
          <w:jc w:val="center"/>
        </w:trPr>
        <w:tc>
          <w:tcPr>
            <w:tcW w:w="8924" w:type="dxa"/>
            <w:vAlign w:val="top"/>
          </w:tcPr>
          <w:p w14:paraId="7EA05490">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14:paraId="368F7637">
            <w:pPr>
              <w:pStyle w:val="5"/>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验收监测期间，该公司生产运行正常，生产负荷满足验收监测工况要求。</w:t>
            </w:r>
          </w:p>
          <w:p w14:paraId="3DC41CE1">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b/>
                <w:bCs/>
                <w:color w:val="000000"/>
                <w:sz w:val="24"/>
                <w:u w:val="single"/>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验收监测期间，</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有组织非甲烷总烃排放浓度为</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4.9</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37mg/m3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《关于全省开展工业企业挥发性有机物专项治理工作中排放建议值的通知》（豫环攻坚办[2017]162号）（80mg/m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855820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在0.41~0.69mg/m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p>
          <w:p w14:paraId="19683DF0">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41-44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CD5CD3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项目废水主</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要为生活废水</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和生产废水</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生产废水经调节池预处理后与经化粪池处理后的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一同进入长垣市常源污水处理厂，</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1248--1273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i w:val="0"/>
                <w:iCs w:val="0"/>
                <w:color w:val="000000"/>
                <w:kern w:val="0"/>
                <w:sz w:val="24"/>
                <w:szCs w:val="24"/>
                <w:highlight w:val="none"/>
                <w:u w:val="none"/>
                <w:lang w:val="en-US" w:eastAsia="zh-CN" w:bidi="ar"/>
              </w:rPr>
              <w:t>415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i w:val="0"/>
                <w:iCs w:val="0"/>
                <w:color w:val="000000"/>
                <w:kern w:val="0"/>
                <w:sz w:val="24"/>
                <w:szCs w:val="24"/>
                <w:highlight w:val="none"/>
                <w:u w:val="none"/>
                <w:lang w:val="en-US" w:eastAsia="zh-CN" w:bidi="ar"/>
              </w:rPr>
              <w:t>425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70-75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eastAsia" w:ascii="Times New Roman" w:hAnsi="Times New Roman" w:eastAsia="宋体" w:cs="Times New Roman"/>
                <w:i w:val="0"/>
                <w:iCs w:val="0"/>
                <w:color w:val="auto"/>
                <w:kern w:val="0"/>
                <w:sz w:val="24"/>
                <w:szCs w:val="24"/>
                <w:highlight w:val="none"/>
                <w:u w:val="none"/>
                <w:lang w:val="en-US" w:eastAsia="zh-CN" w:bidi="ar"/>
              </w:rPr>
              <w:t>9.47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-9.71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eastAsia" w:ascii="Times New Roman" w:hAnsi="Times New Roman" w:eastAsia="宋体" w:cs="Times New Roman"/>
                <w:i w:val="0"/>
                <w:iCs w:val="0"/>
                <w:color w:val="auto"/>
                <w:kern w:val="0"/>
                <w:sz w:val="24"/>
                <w:szCs w:val="24"/>
                <w:highlight w:val="none"/>
                <w:u w:val="none"/>
                <w:lang w:val="en-US" w:eastAsia="zh-CN" w:bidi="ar"/>
              </w:rPr>
              <w:t>41.3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-43.9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、总磷为4.1-4.37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mg/L满足长垣市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常源污水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处理厂收水标准。</w:t>
            </w:r>
          </w:p>
          <w:p w14:paraId="4A94B9B1">
            <w:pPr>
              <w:spacing w:before="62" w:beforeLines="20" w:line="360" w:lineRule="auto"/>
              <w:rPr>
                <w:rFonts w:hint="default" w:ascii="Times New Roman" w:hAnsi="Times New Roman" w:eastAsia="仿宋_GB2312" w:cs="Times New Roman"/>
                <w:color w:val="FF0000"/>
                <w:sz w:val="21"/>
                <w:szCs w:val="21"/>
              </w:rPr>
            </w:pPr>
          </w:p>
          <w:p w14:paraId="7A7934B9">
            <w:pPr>
              <w:spacing w:before="62" w:beforeLines="20" w:line="360" w:lineRule="auto"/>
              <w:rPr>
                <w:rFonts w:hint="default" w:ascii="Times New Roman" w:hAnsi="Times New Roman" w:eastAsia="仿宋_GB2312" w:cs="Times New Roman"/>
                <w:color w:val="FF0000"/>
                <w:sz w:val="21"/>
                <w:szCs w:val="21"/>
              </w:rPr>
            </w:pPr>
          </w:p>
          <w:p w14:paraId="541FFDD1">
            <w:pPr>
              <w:spacing w:before="62" w:beforeLines="20" w:line="360" w:lineRule="auto"/>
              <w:rPr>
                <w:rFonts w:hint="default" w:ascii="Times New Roman" w:hAnsi="Times New Roman" w:eastAsia="仿宋_GB2312" w:cs="Times New Roman"/>
                <w:color w:val="FF0000"/>
                <w:sz w:val="21"/>
                <w:szCs w:val="21"/>
              </w:rPr>
            </w:pPr>
          </w:p>
          <w:p w14:paraId="64107C78">
            <w:pPr>
              <w:spacing w:before="62" w:beforeLines="20" w:line="360" w:lineRule="auto"/>
              <w:rPr>
                <w:rFonts w:hint="default" w:ascii="Times New Roman" w:hAnsi="Times New Roman" w:eastAsia="仿宋_GB2312" w:cs="Times New Roman"/>
                <w:color w:val="FF0000"/>
                <w:sz w:val="21"/>
                <w:szCs w:val="21"/>
              </w:rPr>
            </w:pPr>
          </w:p>
          <w:p w14:paraId="6836CB4E">
            <w:pPr>
              <w:spacing w:before="62" w:beforeLines="20" w:line="360" w:lineRule="auto"/>
              <w:rPr>
                <w:rFonts w:hint="default" w:ascii="Times New Roman" w:hAnsi="Times New Roman" w:eastAsia="仿宋_GB2312" w:cs="Times New Roman"/>
                <w:color w:val="FF0000"/>
                <w:sz w:val="21"/>
                <w:szCs w:val="21"/>
              </w:rPr>
            </w:pPr>
          </w:p>
          <w:p w14:paraId="09066ADB">
            <w:pPr>
              <w:spacing w:before="62" w:beforeLines="20" w:line="360" w:lineRule="auto"/>
              <w:rPr>
                <w:rFonts w:hint="default" w:ascii="Times New Roman" w:hAnsi="Times New Roman" w:eastAsia="仿宋_GB2312" w:cs="Times New Roman"/>
                <w:color w:val="FF0000"/>
                <w:sz w:val="21"/>
                <w:szCs w:val="21"/>
              </w:rPr>
            </w:pPr>
          </w:p>
          <w:p w14:paraId="7EE2FA27">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14:paraId="76435E66">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708" w:footer="1134" w:gutter="0"/>
          <w:pgBorders>
            <w:top w:val="none" w:sz="0" w:space="0"/>
            <w:left w:val="none" w:sz="0" w:space="0"/>
            <w:bottom w:val="none" w:sz="0" w:space="0"/>
            <w:right w:val="none" w:sz="0" w:space="0"/>
          </w:pgBorders>
          <w:pgNumType w:fmt="decimal"/>
          <w:cols w:space="720" w:num="1"/>
          <w:docGrid w:linePitch="360" w:charSpace="0"/>
        </w:sectPr>
      </w:pPr>
    </w:p>
    <w:p w14:paraId="5B8ED2B8">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4F5E0055">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rPr>
        <w:t>河南仟钰食品科技有限公司</w:t>
      </w:r>
      <w:r>
        <w:rPr>
          <w:rFonts w:hint="default" w:ascii="Times New Roman" w:hAnsi="Times New Roman" w:cs="Times New Roman"/>
          <w:color w:val="auto"/>
          <w:szCs w:val="21"/>
        </w:rPr>
        <w:t xml:space="preserve">               填表人（签字）：                                    项目经办人（签字）：        </w:t>
      </w:r>
    </w:p>
    <w:tbl>
      <w:tblPr>
        <w:tblStyle w:val="30"/>
        <w:tblW w:w="21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14:paraId="72F0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697" w:type="dxa"/>
            <w:vMerge w:val="restart"/>
            <w:shd w:val="clear" w:color="auto" w:fill="auto"/>
            <w:textDirection w:val="tbRlV"/>
            <w:vAlign w:val="center"/>
          </w:tcPr>
          <w:p w14:paraId="7154A81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14:paraId="150F8EB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14:paraId="31CCA4A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年产1500吨豆制品项目</w:t>
            </w:r>
          </w:p>
        </w:tc>
        <w:tc>
          <w:tcPr>
            <w:tcW w:w="2796" w:type="dxa"/>
            <w:gridSpan w:val="2"/>
            <w:shd w:val="clear" w:color="auto" w:fill="auto"/>
            <w:vAlign w:val="center"/>
          </w:tcPr>
          <w:p w14:paraId="6A98EED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14:paraId="566FD9F9">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14:paraId="6EEA369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建设地点</w:t>
            </w:r>
          </w:p>
        </w:tc>
        <w:tc>
          <w:tcPr>
            <w:tcW w:w="3509" w:type="dxa"/>
            <w:gridSpan w:val="6"/>
            <w:tcBorders>
              <w:left w:val="single" w:color="auto" w:sz="4" w:space="0"/>
            </w:tcBorders>
            <w:shd w:val="clear" w:color="auto" w:fill="auto"/>
            <w:vAlign w:val="center"/>
          </w:tcPr>
          <w:p w14:paraId="491956F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长垣市常村镇纬一路与经四路交叉口西100米路北1号</w:t>
            </w:r>
          </w:p>
        </w:tc>
      </w:tr>
      <w:tr w14:paraId="6268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exact"/>
          <w:jc w:val="center"/>
        </w:trPr>
        <w:tc>
          <w:tcPr>
            <w:tcW w:w="697" w:type="dxa"/>
            <w:vMerge w:val="continue"/>
            <w:shd w:val="clear" w:color="auto" w:fill="auto"/>
            <w:vAlign w:val="bottom"/>
          </w:tcPr>
          <w:p w14:paraId="43527D6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52F8268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14:paraId="59B1BBC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C1392豆制品制造</w:t>
            </w:r>
          </w:p>
        </w:tc>
        <w:tc>
          <w:tcPr>
            <w:tcW w:w="2796" w:type="dxa"/>
            <w:gridSpan w:val="2"/>
            <w:shd w:val="clear" w:color="auto" w:fill="auto"/>
            <w:vAlign w:val="center"/>
          </w:tcPr>
          <w:p w14:paraId="113689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14:paraId="4A583F8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 xml:space="preserve"> □新建  </w:t>
            </w:r>
            <w:r>
              <w:rPr>
                <w:rFonts w:hint="default" w:ascii="Times New Roman" w:hAnsi="Times New Roman" w:cs="Times New Roman"/>
                <w:b w:val="0"/>
                <w:bCs/>
                <w:color w:val="auto"/>
              </w:rPr>
              <w:sym w:font="Wingdings" w:char="00FE"/>
            </w:r>
            <w:r>
              <w:rPr>
                <w:rFonts w:hint="default" w:ascii="Times New Roman" w:hAnsi="Times New Roman" w:cs="Times New Roman"/>
                <w:b w:val="0"/>
                <w:bCs/>
                <w:color w:val="auto"/>
              </w:rPr>
              <w:t>改扩建 □技术改造</w:t>
            </w:r>
          </w:p>
        </w:tc>
        <w:tc>
          <w:tcPr>
            <w:tcW w:w="2672" w:type="dxa"/>
            <w:gridSpan w:val="3"/>
            <w:shd w:val="clear" w:color="auto" w:fill="auto"/>
            <w:vAlign w:val="center"/>
          </w:tcPr>
          <w:p w14:paraId="078E275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2754" w:type="dxa"/>
            <w:gridSpan w:val="4"/>
            <w:shd w:val="clear" w:color="auto" w:fill="auto"/>
            <w:vAlign w:val="center"/>
          </w:tcPr>
          <w:p w14:paraId="74F954B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771A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97" w:type="dxa"/>
            <w:vMerge w:val="continue"/>
            <w:shd w:val="clear" w:color="auto" w:fill="auto"/>
            <w:vAlign w:val="center"/>
          </w:tcPr>
          <w:p w14:paraId="5FD356E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713026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14:paraId="256EBD8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年产1500吨豆制品</w:t>
            </w:r>
          </w:p>
        </w:tc>
        <w:tc>
          <w:tcPr>
            <w:tcW w:w="2796" w:type="dxa"/>
            <w:gridSpan w:val="2"/>
            <w:shd w:val="clear" w:color="auto" w:fill="auto"/>
            <w:vAlign w:val="center"/>
          </w:tcPr>
          <w:p w14:paraId="1CCF790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14:paraId="5B128F4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年产1500吨豆制品</w:t>
            </w:r>
          </w:p>
        </w:tc>
        <w:tc>
          <w:tcPr>
            <w:tcW w:w="2087" w:type="dxa"/>
            <w:gridSpan w:val="2"/>
            <w:tcBorders>
              <w:left w:val="single" w:color="auto" w:sz="4" w:space="0"/>
              <w:right w:val="single" w:color="auto" w:sz="4" w:space="0"/>
            </w:tcBorders>
            <w:shd w:val="clear" w:color="auto" w:fill="auto"/>
            <w:vAlign w:val="center"/>
          </w:tcPr>
          <w:p w14:paraId="73399C7B">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环评单位</w:t>
            </w:r>
          </w:p>
        </w:tc>
        <w:tc>
          <w:tcPr>
            <w:tcW w:w="3339" w:type="dxa"/>
            <w:gridSpan w:val="5"/>
            <w:tcBorders>
              <w:left w:val="single" w:color="auto" w:sz="4" w:space="0"/>
            </w:tcBorders>
            <w:shd w:val="clear" w:color="auto" w:fill="auto"/>
            <w:vAlign w:val="center"/>
          </w:tcPr>
          <w:p w14:paraId="48F71A3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河南省凝博生态科技</w:t>
            </w:r>
            <w:r>
              <w:rPr>
                <w:rFonts w:hint="eastAsia" w:ascii="Times New Roman" w:hAnsi="Times New Roman" w:cs="Times New Roman" w:eastAsiaTheme="minorEastAsia"/>
                <w:b w:val="0"/>
                <w:color w:val="auto"/>
                <w:lang w:eastAsia="zh-CN"/>
              </w:rPr>
              <w:t>有限公司</w:t>
            </w:r>
          </w:p>
        </w:tc>
      </w:tr>
      <w:tr w14:paraId="4B91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798BC63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BC579D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14:paraId="2D7D67D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eastAsia="zh-CN"/>
              </w:rPr>
            </w:pPr>
            <w:r>
              <w:rPr>
                <w:rFonts w:hint="eastAsia" w:ascii="Times New Roman" w:hAnsi="Times New Roman" w:cs="Times New Roman" w:eastAsiaTheme="minorEastAsia"/>
                <w:b w:val="0"/>
                <w:color w:val="auto"/>
                <w:lang w:val="en-US" w:eastAsia="zh-CN"/>
              </w:rPr>
              <w:t>新乡市生态环境局长垣分局</w:t>
            </w:r>
          </w:p>
        </w:tc>
        <w:tc>
          <w:tcPr>
            <w:tcW w:w="2796" w:type="dxa"/>
            <w:gridSpan w:val="2"/>
            <w:shd w:val="clear" w:color="auto" w:fill="auto"/>
            <w:vAlign w:val="center"/>
          </w:tcPr>
          <w:p w14:paraId="4987907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14:paraId="08CEFD5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长环审（202</w:t>
            </w:r>
            <w:r>
              <w:rPr>
                <w:rFonts w:hint="eastAsia" w:ascii="Times New Roman" w:hAnsi="Times New Roman" w:cs="Times New Roman" w:eastAsiaTheme="minorEastAsia"/>
                <w:b w:val="0"/>
                <w:bCs/>
                <w:color w:val="auto"/>
                <w:sz w:val="18"/>
                <w:szCs w:val="18"/>
                <w:lang w:val="en-US" w:eastAsia="zh-CN"/>
              </w:rPr>
              <w:t>4</w:t>
            </w:r>
            <w:r>
              <w:rPr>
                <w:rFonts w:hint="default" w:ascii="Times New Roman" w:hAnsi="Times New Roman" w:cs="Times New Roman" w:eastAsiaTheme="minorEastAsia"/>
                <w:b w:val="0"/>
                <w:bCs/>
                <w:color w:val="auto"/>
                <w:sz w:val="18"/>
                <w:szCs w:val="18"/>
                <w:lang w:val="en-US" w:eastAsia="zh-CN"/>
              </w:rPr>
              <w:t>）</w:t>
            </w:r>
            <w:r>
              <w:rPr>
                <w:rFonts w:hint="eastAsia" w:ascii="Times New Roman" w:hAnsi="Times New Roman" w:cs="Times New Roman" w:eastAsiaTheme="minorEastAsia"/>
                <w:b w:val="0"/>
                <w:bCs/>
                <w:color w:val="auto"/>
                <w:sz w:val="18"/>
                <w:szCs w:val="18"/>
                <w:lang w:val="en-US" w:eastAsia="zh-CN"/>
              </w:rPr>
              <w:t>49</w:t>
            </w:r>
            <w:r>
              <w:rPr>
                <w:rFonts w:hint="default" w:ascii="Times New Roman" w:hAnsi="Times New Roman" w:cs="Times New Roman" w:eastAsiaTheme="minorEastAsia"/>
                <w:b w:val="0"/>
                <w:bCs/>
                <w:color w:val="auto"/>
                <w:sz w:val="18"/>
                <w:szCs w:val="18"/>
                <w:lang w:val="en-US" w:eastAsia="zh-CN"/>
              </w:rPr>
              <w:t>号</w:t>
            </w:r>
          </w:p>
        </w:tc>
        <w:tc>
          <w:tcPr>
            <w:tcW w:w="2087" w:type="dxa"/>
            <w:gridSpan w:val="2"/>
            <w:tcBorders>
              <w:left w:val="single" w:color="auto" w:sz="4" w:space="0"/>
              <w:right w:val="single" w:color="auto" w:sz="4" w:space="0"/>
            </w:tcBorders>
            <w:shd w:val="clear" w:color="auto" w:fill="auto"/>
            <w:vAlign w:val="center"/>
          </w:tcPr>
          <w:p w14:paraId="35BAD20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14:paraId="3BFB1E2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环评报告表</w:t>
            </w:r>
          </w:p>
        </w:tc>
      </w:tr>
      <w:tr w14:paraId="0B17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exact"/>
          <w:jc w:val="center"/>
        </w:trPr>
        <w:tc>
          <w:tcPr>
            <w:tcW w:w="697" w:type="dxa"/>
            <w:vMerge w:val="continue"/>
            <w:shd w:val="clear" w:color="auto" w:fill="auto"/>
            <w:vAlign w:val="center"/>
          </w:tcPr>
          <w:p w14:paraId="34CC4C3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E4DEE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14:paraId="3A61160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20</w:t>
            </w:r>
            <w:r>
              <w:rPr>
                <w:rFonts w:hint="eastAsia" w:ascii="Times New Roman" w:hAnsi="Times New Roman" w:cs="Times New Roman" w:eastAsiaTheme="minorEastAsia"/>
                <w:b w:val="0"/>
                <w:color w:val="auto"/>
                <w:lang w:val="en-US" w:eastAsia="zh-CN"/>
              </w:rPr>
              <w:t>24</w:t>
            </w:r>
            <w:r>
              <w:rPr>
                <w:rFonts w:hint="default" w:ascii="Times New Roman" w:hAnsi="Times New Roman" w:cs="Times New Roman" w:eastAsiaTheme="minorEastAsia"/>
                <w:b w:val="0"/>
                <w:color w:val="auto"/>
                <w:lang w:val="en-US" w:eastAsia="zh-CN"/>
              </w:rPr>
              <w:t>年</w:t>
            </w:r>
            <w:r>
              <w:rPr>
                <w:rFonts w:hint="eastAsia" w:ascii="Times New Roman" w:hAnsi="Times New Roman" w:cs="Times New Roman" w:eastAsiaTheme="minorEastAsia"/>
                <w:b w:val="0"/>
                <w:color w:val="auto"/>
                <w:lang w:val="en-US" w:eastAsia="zh-CN"/>
              </w:rPr>
              <w:t>8</w:t>
            </w:r>
            <w:r>
              <w:rPr>
                <w:rFonts w:hint="default" w:ascii="Times New Roman" w:hAnsi="Times New Roman" w:cs="Times New Roman" w:eastAsiaTheme="minorEastAsia"/>
                <w:b w:val="0"/>
                <w:color w:val="auto"/>
                <w:lang w:val="en-US" w:eastAsia="zh-CN"/>
              </w:rPr>
              <w:t>月</w:t>
            </w:r>
            <w:r>
              <w:rPr>
                <w:rFonts w:hint="eastAsia" w:ascii="Times New Roman" w:hAnsi="Times New Roman" w:cs="Times New Roman" w:eastAsiaTheme="minorEastAsia"/>
                <w:b w:val="0"/>
                <w:color w:val="auto"/>
                <w:lang w:val="en-US" w:eastAsia="zh-CN"/>
              </w:rPr>
              <w:t>6日</w:t>
            </w:r>
          </w:p>
        </w:tc>
        <w:tc>
          <w:tcPr>
            <w:tcW w:w="2796" w:type="dxa"/>
            <w:gridSpan w:val="2"/>
            <w:shd w:val="clear" w:color="auto" w:fill="auto"/>
            <w:vAlign w:val="center"/>
          </w:tcPr>
          <w:p w14:paraId="2E25331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14:paraId="062CA8B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eastAsiaTheme="minorEastAsia"/>
                <w:b w:val="0"/>
                <w:bCs/>
                <w:color w:val="auto"/>
                <w:sz w:val="18"/>
                <w:szCs w:val="18"/>
                <w:lang w:val="en-US" w:eastAsia="zh-CN"/>
              </w:rPr>
              <w:t>20</w:t>
            </w:r>
            <w:r>
              <w:rPr>
                <w:rFonts w:hint="eastAsia" w:ascii="Times New Roman" w:hAnsi="Times New Roman" w:cs="Times New Roman" w:eastAsiaTheme="minorEastAsia"/>
                <w:b w:val="0"/>
                <w:bCs/>
                <w:color w:val="auto"/>
                <w:sz w:val="18"/>
                <w:szCs w:val="18"/>
                <w:lang w:val="en-US" w:eastAsia="zh-CN"/>
              </w:rPr>
              <w:t>24</w:t>
            </w:r>
            <w:r>
              <w:rPr>
                <w:rFonts w:hint="default" w:ascii="Times New Roman" w:hAnsi="Times New Roman" w:cs="Times New Roman" w:eastAsiaTheme="minorEastAsia"/>
                <w:b w:val="0"/>
                <w:bCs/>
                <w:color w:val="auto"/>
                <w:sz w:val="18"/>
                <w:szCs w:val="18"/>
                <w:lang w:val="en-US" w:eastAsia="zh-CN"/>
              </w:rPr>
              <w:t>年</w:t>
            </w:r>
            <w:r>
              <w:rPr>
                <w:rFonts w:hint="eastAsia" w:ascii="Times New Roman" w:hAnsi="Times New Roman" w:cs="Times New Roman" w:eastAsiaTheme="minorEastAsia"/>
                <w:b w:val="0"/>
                <w:bCs/>
                <w:color w:val="auto"/>
                <w:sz w:val="18"/>
                <w:szCs w:val="18"/>
                <w:lang w:val="en-US" w:eastAsia="zh-CN"/>
              </w:rPr>
              <w:t>12</w:t>
            </w:r>
            <w:r>
              <w:rPr>
                <w:rFonts w:hint="default" w:ascii="Times New Roman" w:hAnsi="Times New Roman" w:cs="Times New Roman" w:eastAsiaTheme="minorEastAsia"/>
                <w:b w:val="0"/>
                <w:bCs/>
                <w:color w:val="auto"/>
                <w:sz w:val="18"/>
                <w:szCs w:val="18"/>
                <w:lang w:val="en-US" w:eastAsia="zh-CN"/>
              </w:rPr>
              <w:t>月</w:t>
            </w:r>
          </w:p>
        </w:tc>
        <w:tc>
          <w:tcPr>
            <w:tcW w:w="2087" w:type="dxa"/>
            <w:gridSpan w:val="2"/>
            <w:tcBorders>
              <w:right w:val="single" w:color="auto" w:sz="4" w:space="0"/>
            </w:tcBorders>
            <w:shd w:val="clear" w:color="auto" w:fill="auto"/>
            <w:vAlign w:val="center"/>
          </w:tcPr>
          <w:p w14:paraId="4A8D034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14:paraId="2330C9E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2024年12月19日</w:t>
            </w:r>
          </w:p>
        </w:tc>
      </w:tr>
      <w:tr w14:paraId="3360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361022D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125D79A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14:paraId="6689644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14:paraId="399F90F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14:paraId="7E80895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087" w:type="dxa"/>
            <w:gridSpan w:val="2"/>
            <w:shd w:val="clear" w:color="auto" w:fill="auto"/>
            <w:vAlign w:val="center"/>
          </w:tcPr>
          <w:p w14:paraId="55D0DDD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14:paraId="5CBEF7B6">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b w:val="0"/>
                <w:color w:val="auto"/>
                <w:lang w:val="en-US" w:eastAsia="zh-CN"/>
              </w:rPr>
            </w:pPr>
            <w:r>
              <w:rPr>
                <w:rFonts w:hint="eastAsia" w:ascii="Times New Roman" w:hAnsi="Times New Roman" w:cs="Times New Roman"/>
                <w:b w:val="0"/>
                <w:color w:val="auto"/>
                <w:lang w:val="en-US" w:eastAsia="zh-CN"/>
              </w:rPr>
              <w:t>91410728MADDCJ3250001X</w:t>
            </w:r>
          </w:p>
        </w:tc>
      </w:tr>
      <w:tr w14:paraId="41B5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top"/>
          </w:tcPr>
          <w:p w14:paraId="503FBB3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2BA19C3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14:paraId="516077AF">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河南仟钰食品科技有限公司</w:t>
            </w:r>
          </w:p>
        </w:tc>
        <w:tc>
          <w:tcPr>
            <w:tcW w:w="2796" w:type="dxa"/>
            <w:gridSpan w:val="2"/>
            <w:tcBorders>
              <w:bottom w:val="single" w:color="auto" w:sz="4" w:space="0"/>
            </w:tcBorders>
            <w:shd w:val="clear" w:color="auto" w:fill="auto"/>
            <w:vAlign w:val="center"/>
          </w:tcPr>
          <w:p w14:paraId="3740201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14:paraId="67CD41B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河南中碳应用监测技术有限公司</w:t>
            </w:r>
          </w:p>
          <w:p w14:paraId="20C23333">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lang w:val="en-US" w:eastAsia="zh-CN" w:bidi="ar-SA"/>
              </w:rPr>
            </w:pPr>
          </w:p>
        </w:tc>
        <w:tc>
          <w:tcPr>
            <w:tcW w:w="2087" w:type="dxa"/>
            <w:gridSpan w:val="2"/>
            <w:shd w:val="clear" w:color="auto" w:fill="auto"/>
            <w:vAlign w:val="center"/>
          </w:tcPr>
          <w:p w14:paraId="34292C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14:paraId="71A07DD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lang w:val="en-US" w:eastAsia="zh-CN"/>
              </w:rPr>
            </w:pPr>
            <w:r>
              <w:rPr>
                <w:rFonts w:hint="eastAsia" w:ascii="Times New Roman" w:hAnsi="Times New Roman" w:cs="Times New Roman"/>
                <w:b w:val="0"/>
                <w:color w:val="auto"/>
                <w:lang w:val="en-US" w:eastAsia="zh-CN"/>
              </w:rPr>
              <w:t>/</w:t>
            </w:r>
          </w:p>
        </w:tc>
      </w:tr>
      <w:tr w14:paraId="5C08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46AFB2D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FA7D9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14:paraId="5770EBB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1000</w:t>
            </w:r>
          </w:p>
        </w:tc>
        <w:tc>
          <w:tcPr>
            <w:tcW w:w="2796" w:type="dxa"/>
            <w:gridSpan w:val="2"/>
            <w:shd w:val="clear" w:color="auto" w:fill="auto"/>
            <w:vAlign w:val="center"/>
          </w:tcPr>
          <w:p w14:paraId="3B6EA512">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14:paraId="0148349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15</w:t>
            </w:r>
          </w:p>
        </w:tc>
        <w:tc>
          <w:tcPr>
            <w:tcW w:w="2087" w:type="dxa"/>
            <w:gridSpan w:val="2"/>
            <w:shd w:val="clear" w:color="auto" w:fill="auto"/>
            <w:vAlign w:val="center"/>
          </w:tcPr>
          <w:p w14:paraId="70AE018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14:paraId="7743D86A">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1.5%</w:t>
            </w:r>
          </w:p>
        </w:tc>
      </w:tr>
      <w:tr w14:paraId="5B6D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17A959D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7292077">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default" w:ascii="Times New Roman" w:hAnsi="Times New Roman" w:cs="Times New Roman"/>
                <w:color w:val="auto"/>
              </w:rPr>
              <w:t>实际总投资</w:t>
            </w:r>
            <w:r>
              <w:rPr>
                <w:rFonts w:hint="eastAsia" w:ascii="Times New Roman" w:hAnsi="Times New Roman" w:cs="Times New Roman"/>
                <w:color w:val="auto"/>
                <w:lang w:eastAsia="zh-CN"/>
              </w:rPr>
              <w:t>（</w:t>
            </w:r>
            <w:r>
              <w:rPr>
                <w:rFonts w:hint="default" w:ascii="Times New Roman" w:hAnsi="Times New Roman" w:cs="Times New Roman"/>
                <w:color w:val="auto"/>
              </w:rPr>
              <w:t>万元</w:t>
            </w:r>
            <w:r>
              <w:rPr>
                <w:rFonts w:hint="eastAsia" w:ascii="Times New Roman" w:hAnsi="Times New Roman" w:cs="Times New Roman"/>
                <w:color w:val="auto"/>
                <w:lang w:eastAsia="zh-CN"/>
              </w:rPr>
              <w:t>）</w:t>
            </w:r>
          </w:p>
        </w:tc>
        <w:tc>
          <w:tcPr>
            <w:tcW w:w="6903" w:type="dxa"/>
            <w:gridSpan w:val="5"/>
            <w:tcBorders>
              <w:bottom w:val="single" w:color="auto" w:sz="4" w:space="0"/>
            </w:tcBorders>
            <w:shd w:val="clear" w:color="auto" w:fill="auto"/>
            <w:vAlign w:val="center"/>
          </w:tcPr>
          <w:p w14:paraId="70690F6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lang w:val="en-US" w:eastAsia="zh-CN"/>
              </w:rPr>
              <w:t>1000</w:t>
            </w:r>
          </w:p>
        </w:tc>
        <w:tc>
          <w:tcPr>
            <w:tcW w:w="2796" w:type="dxa"/>
            <w:gridSpan w:val="2"/>
            <w:tcBorders>
              <w:top w:val="single" w:color="auto" w:sz="4" w:space="0"/>
              <w:bottom w:val="single" w:color="auto" w:sz="4" w:space="0"/>
            </w:tcBorders>
            <w:shd w:val="clear" w:color="auto" w:fill="auto"/>
            <w:vAlign w:val="center"/>
          </w:tcPr>
          <w:p w14:paraId="7C6A1AA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14:paraId="735F217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15</w:t>
            </w:r>
          </w:p>
        </w:tc>
        <w:tc>
          <w:tcPr>
            <w:tcW w:w="2087" w:type="dxa"/>
            <w:gridSpan w:val="2"/>
            <w:tcBorders>
              <w:bottom w:val="single" w:color="auto" w:sz="4" w:space="0"/>
            </w:tcBorders>
            <w:shd w:val="clear" w:color="auto" w:fill="auto"/>
            <w:vAlign w:val="center"/>
          </w:tcPr>
          <w:p w14:paraId="6AB3366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14:paraId="5A507BD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bCs/>
                <w:color w:val="auto"/>
                <w:sz w:val="18"/>
                <w:szCs w:val="18"/>
                <w:lang w:val="en-US" w:eastAsia="zh-CN"/>
              </w:rPr>
              <w:t>1.5%</w:t>
            </w:r>
          </w:p>
        </w:tc>
      </w:tr>
      <w:tr w14:paraId="7A98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02C1542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1E53A5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14:paraId="7A1340D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5</w:t>
            </w:r>
          </w:p>
        </w:tc>
        <w:tc>
          <w:tcPr>
            <w:tcW w:w="1701" w:type="dxa"/>
            <w:tcBorders>
              <w:left w:val="single" w:color="auto" w:sz="4" w:space="0"/>
              <w:right w:val="single" w:color="auto" w:sz="4" w:space="0"/>
            </w:tcBorders>
            <w:shd w:val="clear" w:color="auto" w:fill="auto"/>
            <w:vAlign w:val="center"/>
          </w:tcPr>
          <w:p w14:paraId="28C726C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14:paraId="237DED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4</w:t>
            </w:r>
          </w:p>
        </w:tc>
        <w:tc>
          <w:tcPr>
            <w:tcW w:w="1471" w:type="dxa"/>
            <w:tcBorders>
              <w:left w:val="single" w:color="auto" w:sz="4" w:space="0"/>
              <w:right w:val="single" w:color="auto" w:sz="4" w:space="0"/>
            </w:tcBorders>
            <w:shd w:val="clear" w:color="auto" w:fill="auto"/>
            <w:vAlign w:val="center"/>
          </w:tcPr>
          <w:p w14:paraId="02D34897">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14:paraId="71D6BB9D">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5</w:t>
            </w:r>
          </w:p>
        </w:tc>
        <w:tc>
          <w:tcPr>
            <w:tcW w:w="2796" w:type="dxa"/>
            <w:gridSpan w:val="2"/>
            <w:tcBorders>
              <w:left w:val="single" w:color="auto" w:sz="4" w:space="0"/>
              <w:right w:val="single" w:color="auto" w:sz="4" w:space="0"/>
            </w:tcBorders>
            <w:shd w:val="clear" w:color="auto" w:fill="auto"/>
            <w:vAlign w:val="center"/>
          </w:tcPr>
          <w:p w14:paraId="027F8A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14:paraId="7C691C9B">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1</w:t>
            </w:r>
          </w:p>
        </w:tc>
        <w:tc>
          <w:tcPr>
            <w:tcW w:w="2087" w:type="dxa"/>
            <w:gridSpan w:val="2"/>
            <w:tcBorders>
              <w:left w:val="single" w:color="auto" w:sz="4" w:space="0"/>
              <w:right w:val="single" w:color="auto" w:sz="4" w:space="0"/>
            </w:tcBorders>
            <w:shd w:val="clear" w:color="auto" w:fill="auto"/>
            <w:vAlign w:val="center"/>
          </w:tcPr>
          <w:p w14:paraId="3BBA38D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14:paraId="084B5A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14:paraId="602CE4C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14:paraId="09DF0A84">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eastAsiaTheme="minorEastAsia"/>
                <w:b w:val="0"/>
                <w:color w:val="auto"/>
                <w:lang w:val="en-US" w:eastAsia="zh-CN"/>
              </w:rPr>
              <w:t>/</w:t>
            </w:r>
          </w:p>
        </w:tc>
      </w:tr>
      <w:tr w14:paraId="75CC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97" w:type="dxa"/>
            <w:vMerge w:val="continue"/>
            <w:tcBorders>
              <w:bottom w:val="single" w:color="auto" w:sz="4" w:space="0"/>
            </w:tcBorders>
            <w:shd w:val="clear" w:color="auto" w:fill="auto"/>
            <w:vAlign w:val="bottom"/>
          </w:tcPr>
          <w:p w14:paraId="1A876DE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tcBorders>
              <w:bottom w:val="single" w:color="auto" w:sz="4" w:space="0"/>
            </w:tcBorders>
            <w:shd w:val="clear" w:color="auto" w:fill="auto"/>
            <w:vAlign w:val="center"/>
          </w:tcPr>
          <w:p w14:paraId="4921343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14:paraId="76E0464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14:paraId="34106C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14:paraId="27AB25C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w:t>
            </w:r>
          </w:p>
        </w:tc>
        <w:tc>
          <w:tcPr>
            <w:tcW w:w="2087" w:type="dxa"/>
            <w:gridSpan w:val="2"/>
            <w:tcBorders>
              <w:left w:val="single" w:color="auto" w:sz="4" w:space="0"/>
              <w:right w:val="single" w:color="auto" w:sz="4" w:space="0"/>
            </w:tcBorders>
            <w:shd w:val="clear" w:color="auto" w:fill="auto"/>
            <w:vAlign w:val="center"/>
          </w:tcPr>
          <w:p w14:paraId="58809A7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14:paraId="21202C4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2400</w:t>
            </w:r>
            <w:r>
              <w:rPr>
                <w:rFonts w:hint="default" w:ascii="Times New Roman" w:hAnsi="Times New Roman" w:cs="Times New Roman"/>
                <w:b w:val="0"/>
                <w:color w:val="auto"/>
                <w:lang w:val="en-US" w:eastAsia="zh-CN"/>
              </w:rPr>
              <w:t>h</w:t>
            </w:r>
          </w:p>
        </w:tc>
      </w:tr>
      <w:tr w14:paraId="2763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131" w:type="dxa"/>
            <w:gridSpan w:val="3"/>
            <w:tcBorders>
              <w:top w:val="single" w:color="auto" w:sz="4" w:space="0"/>
              <w:bottom w:val="single" w:color="auto" w:sz="4" w:space="0"/>
            </w:tcBorders>
            <w:shd w:val="clear" w:color="auto" w:fill="auto"/>
            <w:vAlign w:val="center"/>
          </w:tcPr>
          <w:p w14:paraId="1F15533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14:paraId="4F34098B">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eastAsia="zh-CN"/>
              </w:rPr>
              <w:t>河南方亿密封科技有限公司</w:t>
            </w:r>
          </w:p>
        </w:tc>
        <w:tc>
          <w:tcPr>
            <w:tcW w:w="7006" w:type="dxa"/>
            <w:gridSpan w:val="5"/>
            <w:tcBorders>
              <w:left w:val="single" w:color="auto" w:sz="4" w:space="0"/>
              <w:right w:val="single" w:color="auto" w:sz="4" w:space="0"/>
            </w:tcBorders>
            <w:shd w:val="clear" w:color="auto" w:fill="auto"/>
            <w:vAlign w:val="center"/>
          </w:tcPr>
          <w:p w14:paraId="1E63FCB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14:paraId="579D6E7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br w:type="textWrapping"/>
            </w:r>
            <w:r>
              <w:rPr>
                <w:rFonts w:hint="default" w:ascii="Times New Roman" w:hAnsi="Times New Roman" w:cs="Times New Roman" w:eastAsiaTheme="minorEastAsia"/>
                <w:b w:val="0"/>
                <w:color w:val="auto"/>
                <w:lang w:val="en-US" w:eastAsia="zh-CN"/>
              </w:rPr>
              <w:t>91410728MA3XCNX51J</w:t>
            </w:r>
          </w:p>
          <w:p w14:paraId="4D4F6A3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p>
        </w:tc>
        <w:tc>
          <w:tcPr>
            <w:tcW w:w="2087" w:type="dxa"/>
            <w:gridSpan w:val="2"/>
            <w:tcBorders>
              <w:left w:val="single" w:color="auto" w:sz="4" w:space="0"/>
              <w:right w:val="single" w:color="auto" w:sz="4" w:space="0"/>
            </w:tcBorders>
            <w:shd w:val="clear" w:color="auto" w:fill="auto"/>
            <w:vAlign w:val="center"/>
          </w:tcPr>
          <w:p w14:paraId="6397090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14:paraId="67D3E4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p>
        </w:tc>
      </w:tr>
      <w:tr w14:paraId="5B66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697" w:type="dxa"/>
            <w:vMerge w:val="restart"/>
            <w:tcBorders>
              <w:top w:val="nil"/>
            </w:tcBorders>
            <w:shd w:val="clear" w:color="auto" w:fill="auto"/>
            <w:vAlign w:val="bottom"/>
          </w:tcPr>
          <w:p w14:paraId="1A5005C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14:paraId="51C23E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14:paraId="4BB9BDA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14:paraId="1533273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14:paraId="7DB3AD5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14:paraId="77E1BC3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14:paraId="759FA5E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14:paraId="7C8DB7C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14:paraId="7DD5372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14:paraId="1A17BC8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14:paraId="1D54239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14:paraId="67BD343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14:paraId="56D57C7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14:paraId="3CC255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14:paraId="37424AA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6CE67AE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14:paraId="7DBECB9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14:paraId="506B42E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14:paraId="2354733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14:paraId="58E734F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14:paraId="542C5C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本期工程产生量（4）</w:t>
            </w:r>
          </w:p>
        </w:tc>
        <w:tc>
          <w:tcPr>
            <w:tcW w:w="1431" w:type="dxa"/>
            <w:shd w:val="clear" w:color="auto" w:fill="auto"/>
            <w:vAlign w:val="center"/>
          </w:tcPr>
          <w:p w14:paraId="6A6368B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本期工程自身消减量（5）</w:t>
            </w:r>
          </w:p>
        </w:tc>
        <w:tc>
          <w:tcPr>
            <w:tcW w:w="1475" w:type="dxa"/>
            <w:shd w:val="clear" w:color="auto" w:fill="auto"/>
            <w:vAlign w:val="center"/>
          </w:tcPr>
          <w:p w14:paraId="1EEEFAF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本期工程实际排放量（6）</w:t>
            </w:r>
          </w:p>
        </w:tc>
        <w:tc>
          <w:tcPr>
            <w:tcW w:w="1321" w:type="dxa"/>
            <w:shd w:val="clear" w:color="auto" w:fill="auto"/>
            <w:vAlign w:val="center"/>
          </w:tcPr>
          <w:p w14:paraId="19C5B95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本期工程核定排放总量（7）</w:t>
            </w:r>
          </w:p>
        </w:tc>
        <w:tc>
          <w:tcPr>
            <w:tcW w:w="1641" w:type="dxa"/>
            <w:shd w:val="clear" w:color="auto" w:fill="auto"/>
            <w:vAlign w:val="center"/>
          </w:tcPr>
          <w:p w14:paraId="3727F74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本期工程“以新带老”消减量（8）</w:t>
            </w:r>
          </w:p>
        </w:tc>
        <w:tc>
          <w:tcPr>
            <w:tcW w:w="1345" w:type="dxa"/>
            <w:shd w:val="clear" w:color="auto" w:fill="auto"/>
            <w:vAlign w:val="center"/>
          </w:tcPr>
          <w:p w14:paraId="1CC4FD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全厂实际排放总量（9）</w:t>
            </w:r>
          </w:p>
        </w:tc>
        <w:tc>
          <w:tcPr>
            <w:tcW w:w="2087" w:type="dxa"/>
            <w:gridSpan w:val="2"/>
            <w:shd w:val="clear" w:color="auto" w:fill="auto"/>
            <w:vAlign w:val="center"/>
          </w:tcPr>
          <w:p w14:paraId="7EE47A7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14:paraId="67C3A7C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14:paraId="7AA7780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14:paraId="7FD8C1B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（12）</w:t>
            </w:r>
          </w:p>
        </w:tc>
      </w:tr>
      <w:tr w14:paraId="6449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697" w:type="dxa"/>
            <w:vMerge w:val="continue"/>
            <w:shd w:val="clear" w:color="auto" w:fill="auto"/>
            <w:vAlign w:val="center"/>
          </w:tcPr>
          <w:p w14:paraId="3DC792D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D0E76B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14:paraId="3040A0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7F56EA8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0D52C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62188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6781D6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741068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0.57343</w:t>
            </w:r>
          </w:p>
        </w:tc>
        <w:tc>
          <w:tcPr>
            <w:tcW w:w="1321" w:type="dxa"/>
            <w:shd w:val="clear" w:color="auto" w:fill="auto"/>
            <w:vAlign w:val="center"/>
          </w:tcPr>
          <w:p w14:paraId="3D8857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41FD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0.57343</w:t>
            </w:r>
          </w:p>
        </w:tc>
        <w:tc>
          <w:tcPr>
            <w:tcW w:w="1345" w:type="dxa"/>
            <w:shd w:val="clear" w:color="auto" w:fill="auto"/>
            <w:vAlign w:val="center"/>
          </w:tcPr>
          <w:p w14:paraId="551B55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0.57343</w:t>
            </w:r>
          </w:p>
        </w:tc>
        <w:tc>
          <w:tcPr>
            <w:tcW w:w="2087" w:type="dxa"/>
            <w:gridSpan w:val="2"/>
            <w:shd w:val="clear" w:color="auto" w:fill="auto"/>
            <w:vAlign w:val="center"/>
          </w:tcPr>
          <w:p w14:paraId="7DDDF5B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6E3E457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4FB287A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+0.57343</w:t>
            </w:r>
          </w:p>
        </w:tc>
      </w:tr>
      <w:tr w14:paraId="36B9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697" w:type="dxa"/>
            <w:vMerge w:val="continue"/>
            <w:shd w:val="clear" w:color="auto" w:fill="auto"/>
            <w:vAlign w:val="center"/>
          </w:tcPr>
          <w:p w14:paraId="03D7FD2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6F00D8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14:paraId="0336447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5B7ACA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5D747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179026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7270A5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46673C5A">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0.229</w:t>
            </w:r>
          </w:p>
        </w:tc>
        <w:tc>
          <w:tcPr>
            <w:tcW w:w="1321" w:type="dxa"/>
            <w:shd w:val="clear" w:color="auto" w:fill="auto"/>
            <w:vAlign w:val="center"/>
          </w:tcPr>
          <w:p w14:paraId="6D5F7FA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653A3E56">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0.229</w:t>
            </w:r>
          </w:p>
        </w:tc>
        <w:tc>
          <w:tcPr>
            <w:tcW w:w="1345" w:type="dxa"/>
            <w:shd w:val="clear" w:color="auto" w:fill="auto"/>
            <w:vAlign w:val="center"/>
          </w:tcPr>
          <w:p w14:paraId="157769D1">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0.229</w:t>
            </w:r>
          </w:p>
        </w:tc>
        <w:tc>
          <w:tcPr>
            <w:tcW w:w="2087" w:type="dxa"/>
            <w:gridSpan w:val="2"/>
            <w:shd w:val="clear" w:color="auto" w:fill="auto"/>
            <w:vAlign w:val="center"/>
          </w:tcPr>
          <w:p w14:paraId="70ED40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045EE09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B0B45B4">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0.229</w:t>
            </w:r>
          </w:p>
        </w:tc>
      </w:tr>
      <w:tr w14:paraId="5E64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697" w:type="dxa"/>
            <w:vMerge w:val="continue"/>
            <w:shd w:val="clear" w:color="auto" w:fill="auto"/>
            <w:vAlign w:val="center"/>
          </w:tcPr>
          <w:p w14:paraId="7097C9D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17914C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14:paraId="13A5E6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B54CE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7A3761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7EDCB8B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0DCDF70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28B71500">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0.022</w:t>
            </w:r>
          </w:p>
        </w:tc>
        <w:tc>
          <w:tcPr>
            <w:tcW w:w="1321" w:type="dxa"/>
            <w:shd w:val="clear" w:color="auto" w:fill="auto"/>
            <w:vAlign w:val="center"/>
          </w:tcPr>
          <w:p w14:paraId="213745E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486D04DB">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0.022</w:t>
            </w:r>
          </w:p>
        </w:tc>
        <w:tc>
          <w:tcPr>
            <w:tcW w:w="1345" w:type="dxa"/>
            <w:shd w:val="clear" w:color="auto" w:fill="auto"/>
            <w:vAlign w:val="center"/>
          </w:tcPr>
          <w:p w14:paraId="5810B0F0">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0.022</w:t>
            </w:r>
          </w:p>
        </w:tc>
        <w:tc>
          <w:tcPr>
            <w:tcW w:w="2087" w:type="dxa"/>
            <w:gridSpan w:val="2"/>
            <w:shd w:val="clear" w:color="auto" w:fill="auto"/>
            <w:vAlign w:val="center"/>
          </w:tcPr>
          <w:p w14:paraId="5B97464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30480DE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B4B7F70">
            <w:pPr>
              <w:pStyle w:val="48"/>
              <w:keepNext w:val="0"/>
              <w:keepLines w:val="0"/>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0.022</w:t>
            </w:r>
          </w:p>
        </w:tc>
      </w:tr>
      <w:tr w14:paraId="76F0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697" w:type="dxa"/>
            <w:vMerge w:val="continue"/>
            <w:shd w:val="clear" w:color="auto" w:fill="auto"/>
            <w:vAlign w:val="center"/>
          </w:tcPr>
          <w:p w14:paraId="6D74CA1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33A0155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14:paraId="4B1484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C0D3D9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48D0BD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DA29B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55F7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57617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069AE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DF8B6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6D23745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6416B5E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531EFF6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3B5894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491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7" w:type="dxa"/>
            <w:vMerge w:val="continue"/>
            <w:shd w:val="clear" w:color="auto" w:fill="auto"/>
            <w:vAlign w:val="center"/>
          </w:tcPr>
          <w:p w14:paraId="30A5D2F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592A13E">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14:paraId="161061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7D151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2BE4AC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258E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49F6C7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565F2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D1F2F3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78F7A61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07ADA0C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35B971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3F2DD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D45338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2046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697" w:type="dxa"/>
            <w:vMerge w:val="continue"/>
            <w:shd w:val="clear" w:color="auto" w:fill="auto"/>
            <w:vAlign w:val="center"/>
          </w:tcPr>
          <w:p w14:paraId="1AB17B2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2271BD9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14:paraId="03F24A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D96EE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14A1AB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C89C7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76A95F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597D3D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167E9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E8CB0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7421C9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ECD4E5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754A49E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B5C47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FC4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97" w:type="dxa"/>
            <w:vMerge w:val="continue"/>
            <w:shd w:val="clear" w:color="auto" w:fill="auto"/>
            <w:vAlign w:val="center"/>
          </w:tcPr>
          <w:p w14:paraId="63A2DC1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2BBFDD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14:paraId="2FEF98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7FB532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C5CEDD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883B0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461BAA2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9EA424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15A2CF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1FBF28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3C46636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5B5888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4C37DA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73CC856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D7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97" w:type="dxa"/>
            <w:vMerge w:val="continue"/>
            <w:shd w:val="clear" w:color="auto" w:fill="auto"/>
            <w:vAlign w:val="center"/>
          </w:tcPr>
          <w:p w14:paraId="028B91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66D9C1B2">
            <w:pPr>
              <w:pStyle w:val="46"/>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14:paraId="4960541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87CE7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1D4140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0C51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D3AFE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966F0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847674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262451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A4BA4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9B5C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B310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4BDB7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A76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7" w:type="dxa"/>
            <w:vMerge w:val="continue"/>
            <w:shd w:val="clear" w:color="auto" w:fill="auto"/>
            <w:vAlign w:val="center"/>
          </w:tcPr>
          <w:p w14:paraId="1D340BB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371744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14:paraId="59C8ED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6A50C5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ADFD2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482AD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0E0E69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383510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0D77DF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2532D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61926A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16C6224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A2F55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1532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r>
      <w:tr w14:paraId="36D3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697" w:type="dxa"/>
            <w:vMerge w:val="continue"/>
            <w:shd w:val="clear" w:color="auto" w:fill="auto"/>
            <w:vAlign w:val="center"/>
          </w:tcPr>
          <w:p w14:paraId="016283D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DC1EF4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14:paraId="479DE8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19BA48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52C03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E1A335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E296B4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49E4AE2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2D6EF0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4C335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03D6360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A67D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D3ADC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5F23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0DB8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97" w:type="dxa"/>
            <w:vMerge w:val="continue"/>
            <w:shd w:val="clear" w:color="auto" w:fill="auto"/>
            <w:vAlign w:val="center"/>
          </w:tcPr>
          <w:p w14:paraId="14413DA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restart"/>
            <w:shd w:val="clear" w:color="auto" w:fill="auto"/>
            <w:vAlign w:val="center"/>
          </w:tcPr>
          <w:p w14:paraId="2623A7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4A25F9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14:paraId="0AFA494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14:paraId="581145E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14:paraId="0C37828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14:paraId="01A1DC9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0049B5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8" w:type="dxa"/>
            <w:shd w:val="clear" w:color="auto" w:fill="auto"/>
            <w:vAlign w:val="center"/>
          </w:tcPr>
          <w:p w14:paraId="343EFF1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1" w:type="dxa"/>
            <w:shd w:val="clear" w:color="auto" w:fill="auto"/>
            <w:vAlign w:val="center"/>
          </w:tcPr>
          <w:p w14:paraId="62AFA31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p>
        </w:tc>
        <w:tc>
          <w:tcPr>
            <w:tcW w:w="1431" w:type="dxa"/>
            <w:shd w:val="clear" w:color="auto" w:fill="auto"/>
            <w:vAlign w:val="center"/>
          </w:tcPr>
          <w:p w14:paraId="7EC65D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2F2E0F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0.0014</w:t>
            </w:r>
          </w:p>
        </w:tc>
        <w:tc>
          <w:tcPr>
            <w:tcW w:w="1321" w:type="dxa"/>
            <w:shd w:val="clear" w:color="auto" w:fill="auto"/>
            <w:vAlign w:val="center"/>
          </w:tcPr>
          <w:p w14:paraId="6B3949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4837A52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0.0014</w:t>
            </w:r>
          </w:p>
        </w:tc>
        <w:tc>
          <w:tcPr>
            <w:tcW w:w="1345" w:type="dxa"/>
            <w:shd w:val="clear" w:color="auto" w:fill="auto"/>
            <w:vAlign w:val="center"/>
          </w:tcPr>
          <w:p w14:paraId="2E3B19D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0.0014</w:t>
            </w:r>
          </w:p>
        </w:tc>
        <w:tc>
          <w:tcPr>
            <w:tcW w:w="2087" w:type="dxa"/>
            <w:gridSpan w:val="2"/>
            <w:shd w:val="clear" w:color="auto" w:fill="auto"/>
            <w:vAlign w:val="center"/>
          </w:tcPr>
          <w:p w14:paraId="6B4F1D9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BF62E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41B363F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+0.0014</w:t>
            </w:r>
          </w:p>
        </w:tc>
      </w:tr>
      <w:tr w14:paraId="7361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697" w:type="dxa"/>
            <w:vMerge w:val="continue"/>
            <w:shd w:val="clear" w:color="auto" w:fill="auto"/>
            <w:vAlign w:val="center"/>
          </w:tcPr>
          <w:p w14:paraId="77CB346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7A9448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39BFA63">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二甲苯</w:t>
            </w:r>
          </w:p>
        </w:tc>
        <w:tc>
          <w:tcPr>
            <w:tcW w:w="992" w:type="dxa"/>
            <w:shd w:val="clear" w:color="auto" w:fill="auto"/>
            <w:vAlign w:val="center"/>
          </w:tcPr>
          <w:p w14:paraId="75D60B5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1960C35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79B7995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1F893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3F97B0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75" w:type="dxa"/>
            <w:shd w:val="clear" w:color="auto" w:fill="auto"/>
            <w:vAlign w:val="center"/>
          </w:tcPr>
          <w:p w14:paraId="56B359F4">
            <w:pPr>
              <w:pStyle w:val="46"/>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321" w:type="dxa"/>
            <w:shd w:val="clear" w:color="auto" w:fill="auto"/>
            <w:vAlign w:val="center"/>
          </w:tcPr>
          <w:p w14:paraId="00AB932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322E548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4AB61A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0DCE6B">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p>
        </w:tc>
        <w:tc>
          <w:tcPr>
            <w:tcW w:w="1104" w:type="dxa"/>
            <w:gridSpan w:val="2"/>
            <w:shd w:val="clear" w:color="auto" w:fill="auto"/>
            <w:vAlign w:val="center"/>
          </w:tcPr>
          <w:p w14:paraId="3CD3F748">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1E3C931A">
            <w:pPr>
              <w:pStyle w:val="46"/>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29D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97" w:type="dxa"/>
            <w:vMerge w:val="continue"/>
            <w:shd w:val="clear" w:color="auto" w:fill="auto"/>
            <w:vAlign w:val="center"/>
          </w:tcPr>
          <w:p w14:paraId="513A0D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2DBA7E2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1158232">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14:paraId="3BB6E32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43CC9DA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536AA5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2A982C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BF47AE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4AB8A7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44E2ABA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651AF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0A1D1E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E2B9C17">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705F214">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4908D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7D0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697" w:type="dxa"/>
            <w:vMerge w:val="continue"/>
            <w:shd w:val="clear" w:color="auto" w:fill="auto"/>
            <w:vAlign w:val="top"/>
          </w:tcPr>
          <w:p w14:paraId="229721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top"/>
          </w:tcPr>
          <w:p w14:paraId="72DA90F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1AB94B9B">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总氮</w:t>
            </w:r>
          </w:p>
        </w:tc>
        <w:tc>
          <w:tcPr>
            <w:tcW w:w="992" w:type="dxa"/>
            <w:shd w:val="clear" w:color="auto" w:fill="auto"/>
            <w:vAlign w:val="center"/>
          </w:tcPr>
          <w:p w14:paraId="549D2C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63BE9132">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7F4CBB3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14563E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AB2B6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0F6121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61A2B9F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800C5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0E15C5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D8D2636">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0DEA34A5">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31B3F8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bl>
    <w:p w14:paraId="7ABA37D9">
      <w:pPr>
        <w:ind w:firstLine="360"/>
        <w:rPr>
          <w:rFonts w:hint="default" w:ascii="Times New Roman" w:hAnsi="Times New Roman" w:cs="Times New Roman"/>
          <w:color w:val="auto"/>
          <w:sz w:val="18"/>
          <w:highlight w:val="none"/>
        </w:rPr>
        <w:sectPr>
          <w:footerReference r:id="rId6" w:type="default"/>
          <w:type w:val="oddPage"/>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9303F54">
      <w:pPr>
        <w:rPr>
          <w:rFonts w:hint="default" w:ascii="Times New Roman" w:hAnsi="Times New Roman" w:cs="Times New Roman" w:eastAsiaTheme="minorEastAsia"/>
          <w:b/>
          <w:bCs/>
          <w:sz w:val="30"/>
          <w:szCs w:val="30"/>
          <w:lang w:eastAsia="zh-CN"/>
        </w:rPr>
      </w:pPr>
      <w:r>
        <w:rPr>
          <w:rStyle w:val="47"/>
          <w:rFonts w:hint="default" w:ascii="Times New Roman" w:hAnsi="Times New Roman" w:cs="Times New Roman" w:eastAsiaTheme="minorEastAsia"/>
          <w:b/>
          <w:bCs/>
          <w:color w:val="auto"/>
          <w:sz w:val="30"/>
          <w:szCs w:val="30"/>
          <w:lang w:val="en-US" w:eastAsia="zh-CN"/>
        </w:rPr>
        <w:t>附图一 项目地理位置图</w:t>
      </w:r>
    </w:p>
    <w:p w14:paraId="3739E88D">
      <w:pPr>
        <w:pStyle w:val="5"/>
        <w:rPr>
          <w:rFonts w:hint="default"/>
          <w:lang w:eastAsia="zh-CN"/>
        </w:rPr>
        <w:sectPr>
          <w:headerReference r:id="rId7" w:type="default"/>
          <w:footerReference r:id="rId8" w:type="default"/>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1219835</wp:posOffset>
                </wp:positionH>
                <wp:positionV relativeFrom="paragraph">
                  <wp:posOffset>3282950</wp:posOffset>
                </wp:positionV>
                <wp:extent cx="991235" cy="328295"/>
                <wp:effectExtent l="276225" t="6350" r="8890" b="541655"/>
                <wp:wrapNone/>
                <wp:docPr id="110" name="矩形标注 110"/>
                <wp:cNvGraphicFramePr/>
                <a:graphic xmlns:a="http://schemas.openxmlformats.org/drawingml/2006/main">
                  <a:graphicData uri="http://schemas.microsoft.com/office/word/2010/wordprocessingShape">
                    <wps:wsp>
                      <wps:cNvSpPr/>
                      <wps:spPr>
                        <a:xfrm>
                          <a:off x="0" y="0"/>
                          <a:ext cx="991235" cy="328295"/>
                        </a:xfrm>
                        <a:prstGeom prst="wedgeRectCallout">
                          <a:avLst>
                            <a:gd name="adj1" fmla="val -74202"/>
                            <a:gd name="adj2" fmla="val 20331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4A586">
                            <w:pPr>
                              <w:jc w:val="center"/>
                              <w:rPr>
                                <w:color w:val="FF0000"/>
                              </w:rPr>
                            </w:pPr>
                            <w:r>
                              <w:rPr>
                                <w:rFonts w:hint="eastAsia"/>
                                <w:color w:val="FF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6.05pt;margin-top:258.5pt;height:25.85pt;width:78.05pt;z-index:251662336;v-text-anchor:middle;mso-width-relative:page;mso-height-relative:page;" fillcolor="#FFFFFF [3212]" filled="t" stroked="t" coordsize="21600,21600" o:gfxdata="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LseEDZAAAACwEAAA8AAAAAAAAAAQAgAAAAIgAAAGRy&#10;cy9kb3ducmV2LnhtbFBLAQIUABQAAAAIAIdO4kA1pDBZrwIAAGcFAAAOAAAAAAAAAAEAIAAAACgB&#10;AABkcnMvZTJvRG9jLnhtbFBLBQYAAAAABgAGAFkBAABJBgAAAAA=&#10;" adj="-5228,54717">
                <v:fill on="t" focussize="0,0"/>
                <v:stroke weight="1pt" color="#FF0000 [3204]" miterlimit="8" joinstyle="miter"/>
                <v:imagedata o:title=""/>
                <o:lock v:ext="edit" aspectratio="f"/>
                <v:textbox>
                  <w:txbxContent>
                    <w:p w14:paraId="6D54A586">
                      <w:pPr>
                        <w:jc w:val="center"/>
                        <w:rPr>
                          <w:color w:val="FF0000"/>
                        </w:rPr>
                      </w:pPr>
                      <w:r>
                        <w:rPr>
                          <w:rFonts w:hint="eastAsia"/>
                          <w:color w:val="FF0000"/>
                        </w:rPr>
                        <w:t>本项目位置</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880745</wp:posOffset>
                </wp:positionH>
                <wp:positionV relativeFrom="paragraph">
                  <wp:posOffset>4059555</wp:posOffset>
                </wp:positionV>
                <wp:extent cx="168275" cy="162560"/>
                <wp:effectExtent l="19050" t="20955" r="22225" b="26035"/>
                <wp:wrapNone/>
                <wp:docPr id="109" name="五角星 2"/>
                <wp:cNvGraphicFramePr/>
                <a:graphic xmlns:a="http://schemas.openxmlformats.org/drawingml/2006/main">
                  <a:graphicData uri="http://schemas.microsoft.com/office/word/2010/wordprocessingShape">
                    <wps:wsp>
                      <wps:cNvSpPr/>
                      <wps:spPr>
                        <a:xfrm>
                          <a:off x="0" y="0"/>
                          <a:ext cx="168275" cy="162560"/>
                        </a:xfrm>
                        <a:custGeom>
                          <a:avLst/>
                          <a:gdLst/>
                          <a:ahLst/>
                          <a:cxnLst>
                            <a:cxn ang="16187392">
                              <a:pos x="457200" y="0"/>
                            </a:cxn>
                            <a:cxn ang="10747904">
                              <a:pos x="0" y="349268"/>
                            </a:cxn>
                            <a:cxn ang="5373952">
                              <a:pos x="174635" y="914397"/>
                            </a:cxn>
                            <a:cxn ang="5373952">
                              <a:pos x="739764" y="914397"/>
                            </a:cxn>
                            <a:cxn ang="0">
                              <a:pos x="914399" y="349268"/>
                            </a:cxn>
                          </a:cxnLst>
                          <a:rect l="0" t="0" r="0" b="0"/>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chemeClr val="tx1"/>
                          </a:solidFill>
                          <a:prstDash val="solid"/>
                          <a:miter/>
                          <a:headEnd type="none" w="med" len="med"/>
                          <a:tailEnd type="none" w="med" len="med"/>
                        </a:ln>
                        <a:effectLst/>
                      </wps:spPr>
                      <wps:txbx>
                        <w:txbxContent>
                          <w:p w14:paraId="384BF57C">
                            <w:pPr>
                              <w:jc w:val="center"/>
                            </w:pPr>
                          </w:p>
                        </w:txbxContent>
                      </wps:txbx>
                      <wps:bodyPr anchor="ctr" upright="1"/>
                    </wps:wsp>
                  </a:graphicData>
                </a:graphic>
              </wp:anchor>
            </w:drawing>
          </mc:Choice>
          <mc:Fallback>
            <w:pict>
              <v:shape id="五角星 2" o:spid="_x0000_s1026" o:spt="100" style="position:absolute;left:0pt;margin-left:69.35pt;margin-top:319.65pt;height:12.8pt;width:13.25pt;z-index:251661312;v-text-anchor:middle;mso-width-relative:page;mso-height-relative:page;" fillcolor="#FF0000" filled="t" stroked="t" coordsize="914400,914400" o:gfxdata="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lD5WvdsAAAALAQAADwAAAAAAAAABACAAAAAiAAAAZHJzL2Rvd25yZXYueG1sUEsBAhQAFAAA&#10;AAgAh07iQBYz6GwJAwAArgcAAA4AAAAAAAAAAQAgAAAAKgEAAGRycy9lMm9Eb2MueG1sUEsFBgAA&#10;AAAGAAYAWQEAAKUGAAAAAA==&#10;" path="m0,349268l349271,349271,457200,0,565128,349271,914399,349268,631831,565127,739764,914397,457200,698534,174635,914397,282568,565127xe">
                <v:path textboxrect="0,0,914400,914400" o:connectlocs="457200,0;0,349268;174635,914397;739764,914397;914399,349268" o:connectangles="247,164,82,82,0"/>
                <v:fill on="t" focussize="0,0"/>
                <v:stroke weight="1pt" color="#000000 [3213]" joinstyle="miter"/>
                <v:imagedata o:title=""/>
                <o:lock v:ext="edit" aspectratio="f"/>
                <v:textbox>
                  <w:txbxContent>
                    <w:p w14:paraId="384BF57C">
                      <w:pPr>
                        <w:jc w:val="center"/>
                      </w:pPr>
                    </w:p>
                  </w:txbxContent>
                </v:textbox>
              </v:shape>
            </w:pict>
          </mc:Fallback>
        </mc:AlternateContent>
      </w:r>
      <w:r>
        <w:rPr>
          <w:rFonts w:hint="eastAsia"/>
        </w:rPr>
        <w:drawing>
          <wp:inline distT="0" distB="0" distL="114300" distR="114300">
            <wp:extent cx="5752465" cy="8228330"/>
            <wp:effectExtent l="9525" t="9525" r="10160" b="10795"/>
            <wp:docPr id="108" name="图片 108" descr="长垣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长垣地理位置图"/>
                    <pic:cNvPicPr>
                      <a:picLocks noChangeAspect="1"/>
                    </pic:cNvPicPr>
                  </pic:nvPicPr>
                  <pic:blipFill>
                    <a:blip r:embed="rId14"/>
                    <a:stretch>
                      <a:fillRect/>
                    </a:stretch>
                  </pic:blipFill>
                  <pic:spPr>
                    <a:xfrm>
                      <a:off x="0" y="0"/>
                      <a:ext cx="5752465" cy="8228330"/>
                    </a:xfrm>
                    <a:prstGeom prst="rect">
                      <a:avLst/>
                    </a:prstGeom>
                    <a:ln>
                      <a:solidFill>
                        <a:schemeClr val="tx1"/>
                      </a:solidFill>
                    </a:ln>
                  </pic:spPr>
                </pic:pic>
              </a:graphicData>
            </a:graphic>
          </wp:inline>
        </w:drawing>
      </w:r>
    </w:p>
    <w:p w14:paraId="4EC8E8E9">
      <w:pPr>
        <w:jc w:val="left"/>
        <w:rPr>
          <w:rFonts w:hint="eastAsia"/>
          <w:lang w:val="en-US" w:eastAsia="zh-CN"/>
        </w:rPr>
      </w:pPr>
      <w:r>
        <w:rPr>
          <w:sz w:val="30"/>
        </w:rPr>
        <mc:AlternateContent>
          <mc:Choice Requires="wps">
            <w:drawing>
              <wp:anchor distT="0" distB="0" distL="114300" distR="114300" simplePos="0" relativeHeight="251660288" behindDoc="0" locked="0" layoutInCell="1" allowOverlap="1">
                <wp:simplePos x="0" y="0"/>
                <wp:positionH relativeFrom="column">
                  <wp:posOffset>625475</wp:posOffset>
                </wp:positionH>
                <wp:positionV relativeFrom="paragraph">
                  <wp:posOffset>364490</wp:posOffset>
                </wp:positionV>
                <wp:extent cx="7952105" cy="5200015"/>
                <wp:effectExtent l="6350" t="6350" r="23495" b="13335"/>
                <wp:wrapNone/>
                <wp:docPr id="35" name="矩形 35"/>
                <wp:cNvGraphicFramePr/>
                <a:graphic xmlns:a="http://schemas.openxmlformats.org/drawingml/2006/main">
                  <a:graphicData uri="http://schemas.microsoft.com/office/word/2010/wordprocessingShape">
                    <wps:wsp>
                      <wps:cNvSpPr/>
                      <wps:spPr>
                        <a:xfrm>
                          <a:off x="1359535" y="1195070"/>
                          <a:ext cx="7952105" cy="520001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8.7pt;height:409.45pt;width:626.15pt;z-index:251660288;v-text-anchor:middle;mso-width-relative:page;mso-height-relative:page;" filled="f" stroked="t" coordsize="21600,21600" o:gfxdata="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2s3GfZAAAACgEAAA8AAAAAAAAAAQAgAAAAIgAAAGRycy9k&#10;b3ducmV2LnhtbFBLAQIUABQAAAAIAIdO4kDc1YvkcwIAANoEAAAOAAAAAAAAAAEAIAAAACgBAABk&#10;cnMvZTJvRG9jLnhtbFBLBQYAAAAABgAGAFkBAAANBgAAAAA=&#10;">
                <v:fill on="f" focussize="0,0"/>
                <v:stroke weight="1pt" color="#000000 [3213]" miterlimit="8" joinstyle="miter"/>
                <v:imagedata o:title=""/>
                <o:lock v:ext="edit" aspectratio="f"/>
              </v:rect>
            </w:pict>
          </mc:Fallback>
        </mc:AlternateContent>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C621ECF">
      <w:pPr>
        <w:jc w:val="cente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pPr>
      <w:r>
        <w:drawing>
          <wp:inline distT="0" distB="0" distL="114300" distR="114300">
            <wp:extent cx="7926070" cy="5187315"/>
            <wp:effectExtent l="0" t="0" r="17780" b="1333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15"/>
                    <a:stretch>
                      <a:fillRect/>
                    </a:stretch>
                  </pic:blipFill>
                  <pic:spPr>
                    <a:xfrm>
                      <a:off x="0" y="0"/>
                      <a:ext cx="7926070" cy="5187315"/>
                    </a:xfrm>
                    <a:prstGeom prst="rect">
                      <a:avLst/>
                    </a:prstGeom>
                    <a:noFill/>
                    <a:ln>
                      <a:noFill/>
                    </a:ln>
                  </pic:spPr>
                </pic:pic>
              </a:graphicData>
            </a:graphic>
          </wp:inline>
        </w:drawing>
      </w:r>
    </w:p>
    <w:p w14:paraId="2DDDFD5F">
      <w:pPr>
        <w:pStyle w:val="5"/>
        <w:jc w:val="center"/>
        <w:rPr>
          <w:rFonts w:hint="default"/>
          <w:lang w:val="en-US" w:eastAsia="zh-CN"/>
        </w:rPr>
        <w:sectPr>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ACAA1A8">
      <w:pPr>
        <w:jc w:val="left"/>
        <w:rPr>
          <w:rFonts w:hint="default" w:ascii="Times New Roman" w:hAnsi="Times New Roman" w:cs="Times New Roman" w:eastAsiaTheme="minorEastAsia"/>
          <w:b/>
          <w:bCs/>
          <w:color w:val="auto"/>
          <w:sz w:val="30"/>
          <w:szCs w:val="30"/>
          <w:highlight w:val="none"/>
          <w:lang w:val="en-US" w:eastAsia="zh-CN"/>
        </w:rPr>
      </w:pPr>
      <w:bookmarkStart w:id="5" w:name="_Toc16125"/>
      <w:r>
        <w:rPr>
          <w:rFonts w:hint="default" w:ascii="Times New Roman" w:hAnsi="Times New Roman" w:cs="Times New Roman" w:eastAsiaTheme="minorEastAsia"/>
          <w:b/>
          <w:bCs/>
          <w:color w:val="auto"/>
          <w:sz w:val="30"/>
          <w:szCs w:val="30"/>
          <w:highlight w:val="none"/>
          <w:lang w:val="en-US" w:eastAsia="zh-CN"/>
        </w:rPr>
        <w:t>附图</w:t>
      </w:r>
      <w:r>
        <w:rPr>
          <w:rFonts w:hint="eastAsia" w:ascii="Times New Roman" w:hAnsi="Times New Roman" w:cs="Times New Roman" w:eastAsiaTheme="minorEastAsia"/>
          <w:b/>
          <w:bCs/>
          <w:color w:val="auto"/>
          <w:sz w:val="30"/>
          <w:szCs w:val="30"/>
          <w:highlight w:val="none"/>
          <w:lang w:val="en-US" w:eastAsia="zh-CN"/>
        </w:rPr>
        <w:t>三</w:t>
      </w:r>
      <w:r>
        <w:rPr>
          <w:rFonts w:hint="default" w:ascii="Times New Roman" w:hAnsi="Times New Roman" w:cs="Times New Roman" w:eastAsiaTheme="minorEastAsia"/>
          <w:b/>
          <w:bCs/>
          <w:color w:val="auto"/>
          <w:sz w:val="30"/>
          <w:szCs w:val="30"/>
          <w:highlight w:val="none"/>
          <w:lang w:val="en-US" w:eastAsia="zh-CN"/>
        </w:rPr>
        <w:t xml:space="preserve"> 项目平面布置</w:t>
      </w:r>
      <w:r>
        <w:rPr>
          <w:rFonts w:hint="default" w:ascii="Times New Roman" w:hAnsi="Times New Roman" w:cs="Times New Roman" w:eastAsiaTheme="minorEastAsia"/>
          <w:b/>
          <w:bCs/>
          <w:color w:val="auto"/>
          <w:sz w:val="30"/>
          <w:szCs w:val="30"/>
          <w:lang w:val="en-US" w:eastAsia="zh-CN"/>
        </w:rPr>
        <w:t>图</w:t>
      </w:r>
      <w:bookmarkEnd w:id="5"/>
      <w:bookmarkStart w:id="6" w:name="_Toc1520"/>
    </w:p>
    <w:p w14:paraId="345F21FD">
      <w:pPr>
        <w:tabs>
          <w:tab w:val="center" w:pos="4683"/>
        </w:tabs>
        <w:jc w:val="left"/>
        <w:rPr>
          <w:rFonts w:hint="default"/>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384165" cy="8336280"/>
            <wp:effectExtent l="0" t="0" r="6985"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6"/>
                    <a:stretch>
                      <a:fillRect/>
                    </a:stretch>
                  </pic:blipFill>
                  <pic:spPr>
                    <a:xfrm>
                      <a:off x="0" y="0"/>
                      <a:ext cx="5384165" cy="8336280"/>
                    </a:xfrm>
                    <a:prstGeom prst="rect">
                      <a:avLst/>
                    </a:prstGeom>
                    <a:noFill/>
                    <a:ln>
                      <a:noFill/>
                    </a:ln>
                  </pic:spPr>
                </pic:pic>
              </a:graphicData>
            </a:graphic>
          </wp:inline>
        </w:drawing>
      </w:r>
    </w:p>
    <w:bookmarkEnd w:id="6"/>
    <w:p w14:paraId="510998FF">
      <w:pPr>
        <w:rPr>
          <w:rFonts w:hint="default"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eastAsia="zh-CN"/>
        </w:rPr>
        <w:t>附</w:t>
      </w:r>
      <w:r>
        <w:rPr>
          <w:rFonts w:hint="default" w:ascii="Times New Roman" w:hAnsi="Times New Roman" w:cs="Times New Roman" w:eastAsiaTheme="minorEastAsia"/>
          <w:b/>
          <w:bCs/>
          <w:color w:val="auto"/>
          <w:sz w:val="30"/>
          <w:szCs w:val="30"/>
          <w:highlight w:val="none"/>
          <w:lang w:eastAsia="zh-CN"/>
        </w:rPr>
        <w:t>件</w:t>
      </w:r>
      <w:r>
        <w:rPr>
          <w:rFonts w:hint="default" w:ascii="Times New Roman" w:hAnsi="Times New Roman" w:cs="Times New Roman" w:eastAsiaTheme="minorEastAsia"/>
          <w:b/>
          <w:bCs/>
          <w:color w:val="auto"/>
          <w:sz w:val="30"/>
          <w:szCs w:val="30"/>
          <w:highlight w:val="none"/>
          <w:lang w:val="en-US" w:eastAsia="zh-CN"/>
        </w:rPr>
        <w:t>1 环境影响评价批复</w:t>
      </w:r>
      <w:bookmarkStart w:id="7" w:name="_Toc20703"/>
    </w:p>
    <w:p w14:paraId="3C241268">
      <w:pPr>
        <w:rPr>
          <w:rFonts w:hint="default"/>
          <w:lang w:val="en-US" w:eastAsia="zh-CN"/>
        </w:rPr>
      </w:pPr>
      <w:r>
        <w:drawing>
          <wp:inline distT="0" distB="0" distL="114300" distR="114300">
            <wp:extent cx="6155690" cy="8559800"/>
            <wp:effectExtent l="0" t="0" r="16510" b="1270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7"/>
                    <a:stretch>
                      <a:fillRect/>
                    </a:stretch>
                  </pic:blipFill>
                  <pic:spPr>
                    <a:xfrm>
                      <a:off x="0" y="0"/>
                      <a:ext cx="6155690" cy="8559800"/>
                    </a:xfrm>
                    <a:prstGeom prst="rect">
                      <a:avLst/>
                    </a:prstGeom>
                    <a:noFill/>
                    <a:ln>
                      <a:noFill/>
                    </a:ln>
                  </pic:spPr>
                </pic:pic>
              </a:graphicData>
            </a:graphic>
          </wp:inline>
        </w:drawing>
      </w:r>
    </w:p>
    <w:p w14:paraId="3D22D226">
      <w:pPr>
        <w:pStyle w:val="2"/>
        <w:spacing w:line="240" w:lineRule="auto"/>
        <w:rPr>
          <w:rFonts w:hint="eastAsia" w:ascii="Times New Roman" w:hAnsi="Times New Roman" w:cs="Times New Roman" w:eastAsiaTheme="minorEastAsia"/>
          <w:b/>
          <w:bCs/>
          <w:color w:val="auto"/>
          <w:kern w:val="0"/>
          <w:sz w:val="30"/>
          <w:szCs w:val="30"/>
          <w:lang w:val="en-US" w:eastAsia="zh-CN" w:bidi="ar-SA"/>
        </w:rPr>
      </w:pPr>
      <w:r>
        <w:rPr>
          <w:rFonts w:hint="eastAsia" w:ascii="Times New Roman" w:hAnsi="Times New Roman" w:cs="Times New Roman" w:eastAsiaTheme="minorEastAsia"/>
          <w:b/>
          <w:bCs/>
          <w:color w:val="auto"/>
          <w:kern w:val="0"/>
          <w:sz w:val="30"/>
          <w:szCs w:val="30"/>
          <w:lang w:val="en-US" w:eastAsia="zh-CN" w:bidi="ar-SA"/>
        </w:rPr>
        <w:t>附件2 排污许可</w:t>
      </w:r>
    </w:p>
    <w:p w14:paraId="5B72A884">
      <w:pPr>
        <w:pStyle w:val="2"/>
        <w:rPr>
          <w:rFonts w:hint="eastAsia"/>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35980" cy="8454390"/>
            <wp:effectExtent l="0" t="0" r="7620" b="381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8"/>
                    <a:stretch>
                      <a:fillRect/>
                    </a:stretch>
                  </pic:blipFill>
                  <pic:spPr>
                    <a:xfrm>
                      <a:off x="0" y="0"/>
                      <a:ext cx="5935980" cy="8454390"/>
                    </a:xfrm>
                    <a:prstGeom prst="rect">
                      <a:avLst/>
                    </a:prstGeom>
                    <a:noFill/>
                    <a:ln>
                      <a:noFill/>
                    </a:ln>
                  </pic:spPr>
                </pic:pic>
              </a:graphicData>
            </a:graphic>
          </wp:inline>
        </w:drawing>
      </w:r>
    </w:p>
    <w:p w14:paraId="1E358145">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7"/>
    </w:p>
    <w:p w14:paraId="6B963B6E">
      <w:pPr>
        <w:pStyle w:val="14"/>
      </w:pPr>
      <w:r>
        <w:drawing>
          <wp:inline distT="0" distB="0" distL="114300" distR="114300">
            <wp:extent cx="5937885" cy="8460740"/>
            <wp:effectExtent l="0" t="0" r="5715" b="1651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9"/>
                    <a:stretch>
                      <a:fillRect/>
                    </a:stretch>
                  </pic:blipFill>
                  <pic:spPr>
                    <a:xfrm>
                      <a:off x="0" y="0"/>
                      <a:ext cx="5937885" cy="8460740"/>
                    </a:xfrm>
                    <a:prstGeom prst="rect">
                      <a:avLst/>
                    </a:prstGeom>
                    <a:noFill/>
                    <a:ln>
                      <a:noFill/>
                    </a:ln>
                  </pic:spPr>
                </pic:pic>
              </a:graphicData>
            </a:graphic>
          </wp:inline>
        </w:drawing>
      </w:r>
    </w:p>
    <w:p w14:paraId="6EEB6E80">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sectPr>
          <w:headerReference r:id="rId9"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286D2AA">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t>附件4 收水协议</w:t>
      </w:r>
    </w:p>
    <w:p w14:paraId="16A83C65">
      <w:pPr>
        <w:rPr>
          <w:rFonts w:hint="default"/>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2"/>
        </w:rPr>
        <mc:AlternateContent>
          <mc:Choice Requires="wps">
            <w:drawing>
              <wp:anchor distT="0" distB="0" distL="114300" distR="114300" simplePos="0" relativeHeight="251664384" behindDoc="0" locked="0" layoutInCell="1" allowOverlap="1">
                <wp:simplePos x="0" y="0"/>
                <wp:positionH relativeFrom="column">
                  <wp:posOffset>10795</wp:posOffset>
                </wp:positionH>
                <wp:positionV relativeFrom="paragraph">
                  <wp:posOffset>63500</wp:posOffset>
                </wp:positionV>
                <wp:extent cx="498475" cy="375920"/>
                <wp:effectExtent l="0" t="0" r="15875" b="5080"/>
                <wp:wrapNone/>
                <wp:docPr id="2" name="文本框 2"/>
                <wp:cNvGraphicFramePr/>
                <a:graphic xmlns:a="http://schemas.openxmlformats.org/drawingml/2006/main">
                  <a:graphicData uri="http://schemas.microsoft.com/office/word/2010/wordprocessingShape">
                    <wps:wsp>
                      <wps:cNvSpPr txBox="1"/>
                      <wps:spPr>
                        <a:xfrm>
                          <a:off x="839470" y="1542415"/>
                          <a:ext cx="498475" cy="375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6EF11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5pt;height:29.6pt;width:39.25pt;z-index:251664384;mso-width-relative:page;mso-height-relative:page;" fillcolor="#FFFFFF [3201]" filled="t" stroked="f" coordsize="21600,21600" o:gfxdata="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S5fYnRAAAA&#10;BgEAAA8AAAAAAAAAAQAgAAAAIgAAAGRycy9kb3ducmV2LnhtbFBLAQIUABQAAAAIAIdO4kCifZtp&#10;XQIAAJkEAAAOAAAAAAAAAAEAIAAAACABAABkcnMvZTJvRG9jLnhtbFBLBQYAAAAABgAGAFkBAADv&#10;BQAAAAA=&#10;">
                <v:fill on="t" focussize="0,0"/>
                <v:stroke on="f" weight="0.5pt"/>
                <v:imagedata o:title=""/>
                <o:lock v:ext="edit" aspectratio="f"/>
                <v:textbox>
                  <w:txbxContent>
                    <w:p w14:paraId="7F6EF113"/>
                  </w:txbxContent>
                </v:textbox>
              </v:shape>
            </w:pict>
          </mc:Fallback>
        </mc:AlternateContent>
      </w:r>
      <w:r>
        <w:drawing>
          <wp:inline distT="0" distB="0" distL="114300" distR="114300">
            <wp:extent cx="5890895" cy="8343900"/>
            <wp:effectExtent l="0" t="0" r="146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890895" cy="8343900"/>
                    </a:xfrm>
                    <a:prstGeom prst="rect">
                      <a:avLst/>
                    </a:prstGeom>
                    <a:noFill/>
                    <a:ln>
                      <a:noFill/>
                    </a:ln>
                  </pic:spPr>
                </pic:pic>
              </a:graphicData>
            </a:graphic>
          </wp:inline>
        </w:drawing>
      </w:r>
    </w:p>
    <w:p w14:paraId="1747544C">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6192520" cy="8669655"/>
            <wp:effectExtent l="0" t="0" r="1778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6192520" cy="8669655"/>
                    </a:xfrm>
                    <a:prstGeom prst="rect">
                      <a:avLst/>
                    </a:prstGeom>
                    <a:noFill/>
                    <a:ln>
                      <a:noFill/>
                    </a:ln>
                  </pic:spPr>
                </pic:pic>
              </a:graphicData>
            </a:graphic>
          </wp:inline>
        </w:drawing>
      </w:r>
    </w:p>
    <w:p w14:paraId="0C1EA848">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t>附件5 监测报告</w:t>
      </w:r>
    </w:p>
    <w:p w14:paraId="79FE2900">
      <w:pPr>
        <w:pStyle w:val="2"/>
        <w:jc w:val="cente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5572125" cy="7591425"/>
            <wp:effectExtent l="0" t="0" r="9525"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5572125" cy="7591425"/>
                    </a:xfrm>
                    <a:prstGeom prst="rect">
                      <a:avLst/>
                    </a:prstGeom>
                    <a:noFill/>
                    <a:ln>
                      <a:noFill/>
                    </a:ln>
                  </pic:spPr>
                </pic:pic>
              </a:graphicData>
            </a:graphic>
          </wp:inline>
        </w:drawing>
      </w:r>
    </w:p>
    <w:p w14:paraId="79390CF4">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p>
    <w:p w14:paraId="350B8F0E">
      <w:pPr>
        <w:pStyle w:val="2"/>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6045200" cy="8565515"/>
            <wp:effectExtent l="0" t="0" r="12700"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3"/>
                    <a:stretch>
                      <a:fillRect/>
                    </a:stretch>
                  </pic:blipFill>
                  <pic:spPr>
                    <a:xfrm>
                      <a:off x="0" y="0"/>
                      <a:ext cx="6045200" cy="8565515"/>
                    </a:xfrm>
                    <a:prstGeom prst="rect">
                      <a:avLst/>
                    </a:prstGeom>
                    <a:noFill/>
                    <a:ln>
                      <a:noFill/>
                    </a:ln>
                  </pic:spPr>
                </pic:pic>
              </a:graphicData>
            </a:graphic>
          </wp:inline>
        </w:drawing>
      </w:r>
      <w:r>
        <w:drawing>
          <wp:inline distT="0" distB="0" distL="114300" distR="114300">
            <wp:extent cx="6235065" cy="8752840"/>
            <wp:effectExtent l="0" t="0" r="13335"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4"/>
                    <a:stretch>
                      <a:fillRect/>
                    </a:stretch>
                  </pic:blipFill>
                  <pic:spPr>
                    <a:xfrm>
                      <a:off x="0" y="0"/>
                      <a:ext cx="6235065" cy="8752840"/>
                    </a:xfrm>
                    <a:prstGeom prst="rect">
                      <a:avLst/>
                    </a:prstGeom>
                    <a:noFill/>
                    <a:ln>
                      <a:noFill/>
                    </a:ln>
                  </pic:spPr>
                </pic:pic>
              </a:graphicData>
            </a:graphic>
          </wp:inline>
        </w:drawing>
      </w:r>
    </w:p>
    <w:p w14:paraId="4B49661D">
      <w:r>
        <w:drawing>
          <wp:inline distT="0" distB="0" distL="114300" distR="114300">
            <wp:extent cx="6268085" cy="8861425"/>
            <wp:effectExtent l="0" t="0" r="18415" b="1587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5"/>
                    <a:stretch>
                      <a:fillRect/>
                    </a:stretch>
                  </pic:blipFill>
                  <pic:spPr>
                    <a:xfrm>
                      <a:off x="0" y="0"/>
                      <a:ext cx="6268085" cy="8861425"/>
                    </a:xfrm>
                    <a:prstGeom prst="rect">
                      <a:avLst/>
                    </a:prstGeom>
                    <a:noFill/>
                    <a:ln>
                      <a:noFill/>
                    </a:ln>
                  </pic:spPr>
                </pic:pic>
              </a:graphicData>
            </a:graphic>
          </wp:inline>
        </w:drawing>
      </w:r>
    </w:p>
    <w:p w14:paraId="4B376FD3">
      <w:pPr>
        <w:pStyle w:val="2"/>
      </w:pPr>
      <w:r>
        <w:drawing>
          <wp:inline distT="0" distB="0" distL="114300" distR="114300">
            <wp:extent cx="6177915" cy="8759825"/>
            <wp:effectExtent l="0" t="0" r="13335" b="31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6"/>
                    <a:stretch>
                      <a:fillRect/>
                    </a:stretch>
                  </pic:blipFill>
                  <pic:spPr>
                    <a:xfrm>
                      <a:off x="0" y="0"/>
                      <a:ext cx="6177915" cy="8759825"/>
                    </a:xfrm>
                    <a:prstGeom prst="rect">
                      <a:avLst/>
                    </a:prstGeom>
                    <a:noFill/>
                    <a:ln>
                      <a:noFill/>
                    </a:ln>
                  </pic:spPr>
                </pic:pic>
              </a:graphicData>
            </a:graphic>
          </wp:inline>
        </w:drawing>
      </w:r>
    </w:p>
    <w:p w14:paraId="36ACDFAD">
      <w:r>
        <w:drawing>
          <wp:inline distT="0" distB="0" distL="114300" distR="114300">
            <wp:extent cx="6159500" cy="8797925"/>
            <wp:effectExtent l="0" t="0" r="12700"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7"/>
                    <a:stretch>
                      <a:fillRect/>
                    </a:stretch>
                  </pic:blipFill>
                  <pic:spPr>
                    <a:xfrm>
                      <a:off x="0" y="0"/>
                      <a:ext cx="6159500" cy="8797925"/>
                    </a:xfrm>
                    <a:prstGeom prst="rect">
                      <a:avLst/>
                    </a:prstGeom>
                    <a:noFill/>
                    <a:ln>
                      <a:noFill/>
                    </a:ln>
                  </pic:spPr>
                </pic:pic>
              </a:graphicData>
            </a:graphic>
          </wp:inline>
        </w:drawing>
      </w:r>
    </w:p>
    <w:p w14:paraId="61880B7D">
      <w:pPr>
        <w:pStyle w:val="2"/>
      </w:pPr>
      <w:r>
        <w:drawing>
          <wp:inline distT="0" distB="0" distL="114300" distR="114300">
            <wp:extent cx="6165850" cy="8829675"/>
            <wp:effectExtent l="0" t="0" r="6350" b="952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8"/>
                    <a:stretch>
                      <a:fillRect/>
                    </a:stretch>
                  </pic:blipFill>
                  <pic:spPr>
                    <a:xfrm>
                      <a:off x="0" y="0"/>
                      <a:ext cx="6165850" cy="8829675"/>
                    </a:xfrm>
                    <a:prstGeom prst="rect">
                      <a:avLst/>
                    </a:prstGeom>
                    <a:noFill/>
                    <a:ln>
                      <a:noFill/>
                    </a:ln>
                  </pic:spPr>
                </pic:pic>
              </a:graphicData>
            </a:graphic>
          </wp:inline>
        </w:drawing>
      </w:r>
    </w:p>
    <w:p w14:paraId="415650D9">
      <w:r>
        <w:drawing>
          <wp:inline distT="0" distB="0" distL="114300" distR="114300">
            <wp:extent cx="6216015" cy="8775065"/>
            <wp:effectExtent l="0" t="0" r="13335" b="698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9"/>
                    <a:stretch>
                      <a:fillRect/>
                    </a:stretch>
                  </pic:blipFill>
                  <pic:spPr>
                    <a:xfrm>
                      <a:off x="0" y="0"/>
                      <a:ext cx="6216015" cy="8775065"/>
                    </a:xfrm>
                    <a:prstGeom prst="rect">
                      <a:avLst/>
                    </a:prstGeom>
                    <a:noFill/>
                    <a:ln>
                      <a:noFill/>
                    </a:ln>
                  </pic:spPr>
                </pic:pic>
              </a:graphicData>
            </a:graphic>
          </wp:inline>
        </w:drawing>
      </w:r>
    </w:p>
    <w:p w14:paraId="544A1D4E">
      <w:pPr>
        <w:pStyle w:val="2"/>
      </w:pPr>
      <w:r>
        <w:drawing>
          <wp:inline distT="0" distB="0" distL="114300" distR="114300">
            <wp:extent cx="6258560" cy="8800465"/>
            <wp:effectExtent l="0" t="0" r="8890" b="63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0"/>
                    <a:stretch>
                      <a:fillRect/>
                    </a:stretch>
                  </pic:blipFill>
                  <pic:spPr>
                    <a:xfrm>
                      <a:off x="0" y="0"/>
                      <a:ext cx="6258560" cy="8800465"/>
                    </a:xfrm>
                    <a:prstGeom prst="rect">
                      <a:avLst/>
                    </a:prstGeom>
                    <a:noFill/>
                    <a:ln>
                      <a:noFill/>
                    </a:ln>
                  </pic:spPr>
                </pic:pic>
              </a:graphicData>
            </a:graphic>
          </wp:inline>
        </w:drawing>
      </w:r>
    </w:p>
    <w:p w14:paraId="130F66A4">
      <w:r>
        <w:drawing>
          <wp:inline distT="0" distB="0" distL="114300" distR="114300">
            <wp:extent cx="6214110" cy="8762365"/>
            <wp:effectExtent l="0" t="0" r="15240"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31"/>
                    <a:stretch>
                      <a:fillRect/>
                    </a:stretch>
                  </pic:blipFill>
                  <pic:spPr>
                    <a:xfrm>
                      <a:off x="0" y="0"/>
                      <a:ext cx="6214110" cy="8762365"/>
                    </a:xfrm>
                    <a:prstGeom prst="rect">
                      <a:avLst/>
                    </a:prstGeom>
                    <a:noFill/>
                    <a:ln>
                      <a:noFill/>
                    </a:ln>
                  </pic:spPr>
                </pic:pic>
              </a:graphicData>
            </a:graphic>
          </wp:inline>
        </w:drawing>
      </w:r>
    </w:p>
    <w:p w14:paraId="4D6E99F7">
      <w:pPr>
        <w:bidi w:val="0"/>
        <w:spacing w:line="360" w:lineRule="auto"/>
        <w:jc w:val="center"/>
        <w:rPr>
          <w:rFonts w:hint="eastAsia" w:ascii="Times New Roman" w:hAnsi="Times New Roman" w:eastAsia="宋体" w:cs="Times New Roman"/>
          <w:b/>
          <w:bCs/>
          <w:sz w:val="30"/>
          <w:szCs w:val="30"/>
          <w:lang w:eastAsia="zh-CN"/>
        </w:rPr>
      </w:pPr>
      <w:r>
        <w:rPr>
          <w:rFonts w:hint="eastAsia" w:ascii="Times New Roman" w:hAnsi="Times New Roman" w:eastAsia="宋体" w:cs="Times New Roman"/>
          <w:b/>
          <w:bCs/>
          <w:sz w:val="30"/>
          <w:szCs w:val="30"/>
          <w:lang w:eastAsia="zh-CN"/>
        </w:rPr>
        <w:t>河南仟钰食品科技有限公司年产1500吨豆制品项目</w:t>
      </w:r>
    </w:p>
    <w:p w14:paraId="334CDA93">
      <w:pPr>
        <w:bidi w:val="0"/>
        <w:spacing w:line="360" w:lineRule="auto"/>
        <w:jc w:val="center"/>
        <w:rPr>
          <w:rFonts w:hint="default" w:ascii="Times New Roman" w:hAnsi="Times New Roman" w:eastAsia="宋体" w:cs="Times New Roman"/>
          <w:b/>
          <w:bCs/>
          <w:sz w:val="30"/>
          <w:szCs w:val="30"/>
          <w:lang w:eastAsia="zh-CN"/>
        </w:rPr>
      </w:pPr>
      <w:r>
        <w:rPr>
          <w:rFonts w:hint="default" w:ascii="Times New Roman" w:hAnsi="Times New Roman" w:eastAsia="宋体" w:cs="Times New Roman"/>
          <w:b/>
          <w:bCs/>
          <w:sz w:val="30"/>
          <w:szCs w:val="30"/>
          <w:lang w:eastAsia="zh-CN"/>
        </w:rPr>
        <w:t>竣工环境保护验收意见</w:t>
      </w:r>
    </w:p>
    <w:p w14:paraId="07FE565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《河南仟钰食品科技有限公司年产1500吨豆制品项目》竣工环境保护验收</w:t>
      </w:r>
      <w:r>
        <w:rPr>
          <w:rFonts w:hint="default" w:ascii="Times New Roman" w:hAnsi="Times New Roman" w:eastAsia="宋体" w:cs="Times New Roman"/>
          <w:color w:val="auto"/>
          <w:sz w:val="24"/>
          <w:szCs w:val="24"/>
          <w:lang w:val="en-US" w:eastAsia="zh-CN"/>
        </w:rPr>
        <w:t>评审</w:t>
      </w:r>
      <w:r>
        <w:rPr>
          <w:rFonts w:hint="eastAsia" w:ascii="Times New Roman" w:hAnsi="Times New Roman" w:eastAsia="宋体" w:cs="Times New Roman"/>
          <w:color w:val="auto"/>
          <w:sz w:val="24"/>
          <w:szCs w:val="24"/>
          <w:lang w:val="en-US" w:eastAsia="zh-CN"/>
        </w:rPr>
        <w:t>会</w:t>
      </w:r>
      <w:r>
        <w:rPr>
          <w:rFonts w:hint="default" w:ascii="Times New Roman" w:hAnsi="Times New Roman" w:eastAsia="宋体" w:cs="Times New Roman"/>
          <w:color w:val="auto"/>
          <w:sz w:val="24"/>
          <w:szCs w:val="24"/>
          <w:lang w:val="en-US" w:eastAsia="zh-CN"/>
        </w:rPr>
        <w:t>在长垣市召开。验收专家组通过审阅</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竣工环境保护</w:t>
      </w:r>
      <w:r>
        <w:rPr>
          <w:rFonts w:hint="eastAsia" w:ascii="Times New Roman" w:hAnsi="Times New Roman" w:eastAsia="宋体" w:cs="Times New Roman"/>
          <w:color w:val="auto"/>
          <w:sz w:val="24"/>
          <w:szCs w:val="24"/>
          <w:lang w:val="en-US" w:eastAsia="zh-CN"/>
        </w:rPr>
        <w:t>验收</w:t>
      </w:r>
      <w:r>
        <w:rPr>
          <w:rFonts w:hint="default" w:ascii="Times New Roman" w:hAnsi="Times New Roman" w:eastAsia="宋体" w:cs="Times New Roman"/>
          <w:color w:val="auto"/>
          <w:sz w:val="24"/>
          <w:szCs w:val="24"/>
          <w:lang w:val="en-US" w:eastAsia="zh-CN"/>
        </w:rPr>
        <w:t>监测报告并对照《建设项目竣工环境保护验收暂行办法》，严格依照国家有关法律法规、建设项目竣工环境保护验收技术规范、本项目环境影响评价报告</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val="en-US" w:eastAsia="zh-CN"/>
        </w:rPr>
        <w:t>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b/>
          <w:bCs/>
          <w:lang w:val="en-US" w:eastAsia="zh-CN"/>
        </w:rPr>
      </w:pPr>
      <w:r>
        <w:rPr>
          <w:rFonts w:hint="default"/>
          <w:b/>
          <w:bCs/>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（一）建设地点、规模、主要建设内容</w:t>
      </w:r>
    </w:p>
    <w:p w14:paraId="0384369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河南仟钰食品科技有限公司</w:t>
      </w:r>
      <w:r>
        <w:rPr>
          <w:rFonts w:hint="default" w:ascii="Times New Roman" w:hAnsi="Times New Roman" w:eastAsia="宋体" w:cs="Times New Roman"/>
          <w:color w:val="auto"/>
          <w:sz w:val="24"/>
          <w:szCs w:val="24"/>
          <w:lang w:val="en-US" w:eastAsia="zh-CN"/>
        </w:rPr>
        <w:t>位于</w:t>
      </w:r>
      <w:r>
        <w:rPr>
          <w:rFonts w:hint="eastAsia" w:ascii="Times New Roman" w:hAnsi="Times New Roman" w:eastAsia="宋体" w:cs="Times New Roman"/>
          <w:color w:val="auto"/>
          <w:sz w:val="24"/>
          <w:szCs w:val="24"/>
          <w:lang w:val="en-US" w:eastAsia="zh-CN"/>
        </w:rPr>
        <w:t>长垣市常村镇纬一路与经四路交叉口西100米路北1号，占地</w:t>
      </w:r>
      <w:r>
        <w:rPr>
          <w:rFonts w:hint="default" w:ascii="Times New Roman" w:hAnsi="Times New Roman" w:eastAsia="宋体" w:cs="Times New Roman"/>
          <w:color w:val="auto"/>
          <w:sz w:val="24"/>
          <w:szCs w:val="24"/>
          <w:lang w:val="en-US" w:eastAsia="zh-CN"/>
        </w:rPr>
        <w:t>面积</w:t>
      </w:r>
      <w:r>
        <w:rPr>
          <w:rFonts w:hint="eastAsia" w:ascii="Times New Roman" w:hAnsi="Times New Roman" w:eastAsia="宋体" w:cs="Times New Roman"/>
          <w:color w:val="auto"/>
          <w:sz w:val="24"/>
          <w:szCs w:val="24"/>
          <w:lang w:val="en-US" w:eastAsia="zh-CN"/>
        </w:rPr>
        <w:t>6240</w:t>
      </w: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 xml:space="preserve">     </w:t>
      </w:r>
    </w:p>
    <w:p w14:paraId="377E42C5">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《河南仟钰食品科技有限公司年产1500吨豆制品项目环境影响报告表》由河南省凝博生态科技有限公司</w:t>
      </w:r>
      <w:r>
        <w:rPr>
          <w:rFonts w:hint="default" w:ascii="Times New Roman" w:hAnsi="Times New Roman" w:eastAsia="宋体" w:cs="Times New Roman"/>
          <w:color w:val="auto"/>
          <w:sz w:val="24"/>
          <w:szCs w:val="24"/>
          <w:lang w:val="en-US" w:eastAsia="zh-CN"/>
        </w:rPr>
        <w:t>编制完成</w:t>
      </w:r>
      <w:r>
        <w:rPr>
          <w:rFonts w:hint="eastAsia" w:ascii="Times New Roman" w:hAnsi="Times New Roman" w:eastAsia="宋体"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eastAsia="宋体" w:cs="Times New Roman"/>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49</w:t>
      </w:r>
      <w:r>
        <w:rPr>
          <w:rFonts w:hint="default" w:ascii="Times New Roman" w:hAnsi="Times New Roman" w:eastAsia="宋体" w:cs="Times New Roman"/>
          <w:color w:val="auto"/>
          <w:sz w:val="24"/>
          <w:szCs w:val="24"/>
          <w:lang w:val="en-US" w:eastAsia="zh-CN"/>
        </w:rPr>
        <w:t>号）。</w:t>
      </w:r>
    </w:p>
    <w:p w14:paraId="5C817DEF">
      <w:pPr>
        <w:keepNext w:val="0"/>
        <w:keepLines w:val="0"/>
        <w:pageBreakBefore w:val="0"/>
        <w:kinsoku/>
        <w:wordWrap/>
        <w:overflowPunct/>
        <w:topLinePunct w:val="0"/>
        <w:autoSpaceDE/>
        <w:autoSpaceDN/>
        <w:bidi w:val="0"/>
        <w:spacing w:after="0"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本项目于2024年8月6日开始建设，2024年12月竣工。</w:t>
      </w:r>
    </w:p>
    <w:p w14:paraId="373D51E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项目实际总投资</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00万元，其中环保投资</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万元，占比为</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w:t>
      </w:r>
    </w:p>
    <w:p w14:paraId="09FDB876">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本次验收范围为</w:t>
      </w:r>
      <w:r>
        <w:rPr>
          <w:rFonts w:hint="eastAsia" w:ascii="Times New Roman" w:hAnsi="Times New Roman" w:eastAsia="宋体" w:cs="Times New Roman"/>
          <w:color w:val="auto"/>
          <w:sz w:val="24"/>
          <w:szCs w:val="24"/>
          <w:lang w:val="en-US" w:eastAsia="zh-CN"/>
        </w:rPr>
        <w:t>《河南仟钰食品科技有限公司年产1500吨豆制品项目》</w:t>
      </w:r>
      <w:r>
        <w:rPr>
          <w:rFonts w:hint="default" w:ascii="Times New Roman" w:hAnsi="Times New Roman" w:eastAsia="宋体" w:cs="Times New Roman"/>
          <w:color w:val="auto"/>
          <w:sz w:val="24"/>
          <w:szCs w:val="24"/>
          <w:lang w:val="en-US" w:eastAsia="zh-CN"/>
        </w:rPr>
        <w:t>的主体工程、配套设施、辅助设施、环保设施的建设、运行及环保要求落实情况</w:t>
      </w:r>
      <w:r>
        <w:rPr>
          <w:rFonts w:hint="eastAsia" w:ascii="Times New Roman" w:hAnsi="Times New Roman" w:eastAsia="宋体" w:cs="Times New Roman"/>
          <w:color w:val="auto"/>
          <w:sz w:val="24"/>
          <w:szCs w:val="24"/>
          <w:lang w:val="en-US" w:eastAsia="zh-CN"/>
        </w:rPr>
        <w:t>。</w:t>
      </w:r>
    </w:p>
    <w:p w14:paraId="6450E0FD">
      <w:pPr>
        <w:keepNext w:val="0"/>
        <w:keepLines w:val="0"/>
        <w:pageBreakBefore w:val="0"/>
        <w:kinsoku/>
        <w:wordWrap/>
        <w:overflowPunct/>
        <w:topLinePunct w:val="0"/>
        <w:autoSpaceDE/>
        <w:autoSpaceDN/>
        <w:bidi w:val="0"/>
        <w:spacing w:after="0" w:line="480" w:lineRule="exact"/>
        <w:textAlignment w:val="auto"/>
        <w:rPr>
          <w:rFonts w:hint="default"/>
          <w:b/>
          <w:bCs/>
          <w:lang w:eastAsia="zh-CN"/>
        </w:rPr>
      </w:pPr>
      <w:r>
        <w:rPr>
          <w:rFonts w:hint="default"/>
          <w:b/>
          <w:bCs/>
          <w:lang w:eastAsia="zh-CN"/>
        </w:rPr>
        <w:t>二、工程变更情况</w:t>
      </w:r>
    </w:p>
    <w:p w14:paraId="05D23DF1">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经现</w:t>
      </w:r>
      <w:r>
        <w:rPr>
          <w:rFonts w:hint="default" w:ascii="Times New Roman" w:hAnsi="Times New Roman" w:eastAsia="宋体" w:cs="Times New Roman"/>
          <w:color w:val="auto"/>
          <w:sz w:val="24"/>
          <w:szCs w:val="24"/>
          <w:lang w:val="en-US" w:eastAsia="zh-CN"/>
        </w:rPr>
        <w:t>场勘查，</w:t>
      </w:r>
      <w:r>
        <w:rPr>
          <w:rFonts w:hint="eastAsia" w:ascii="Times New Roman" w:hAnsi="Times New Roman" w:eastAsia="宋体" w:cs="Times New Roman"/>
          <w:color w:val="auto"/>
          <w:sz w:val="24"/>
          <w:szCs w:val="24"/>
          <w:lang w:val="en-US" w:eastAsia="zh-CN"/>
        </w:rPr>
        <w:t>本项目实际建设内容与环评基本一致，其中冷却池原环评预计为2个16m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，实际建设为4个8m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，总容积不变；糖纳豆生产线取消灌装机，风干过程所用风机增加2台，其他生产设备与环评一致。根据《河南省生态环境厅关于印发河南省低效失效大气污染治理设施排查整治实施方案的通知》（豫环文〔</w:t>
      </w:r>
      <w:r>
        <w:rPr>
          <w:rFonts w:hint="default" w:ascii="Times New Roman" w:hAnsi="Times New Roman" w:eastAsia="宋体" w:cs="Times New Roman"/>
          <w:color w:val="auto"/>
          <w:sz w:val="24"/>
          <w:szCs w:val="24"/>
          <w:lang w:val="en-US" w:eastAsia="zh-CN"/>
        </w:rPr>
        <w:t>2024〕132 号</w:t>
      </w:r>
      <w:r>
        <w:rPr>
          <w:rFonts w:hint="eastAsia" w:ascii="Times New Roman" w:hAnsi="Times New Roman" w:eastAsia="宋体" w:cs="Times New Roman"/>
          <w:color w:val="auto"/>
          <w:sz w:val="24"/>
          <w:szCs w:val="24"/>
          <w:lang w:val="en-US" w:eastAsia="zh-CN"/>
        </w:rPr>
        <w:t>）可知，UV光催化治理设备已被列为低效环保设施，原环评中封口废气由“UV光催化+活性炭吸附装置”进行处理，实际建设为“二级活性炭吸附装置，将UV光催化更换为活性炭吸附装置，均</w:t>
      </w:r>
      <w:r>
        <w:rPr>
          <w:rFonts w:hint="default" w:ascii="Times New Roman" w:hAnsi="Times New Roman" w:eastAsia="宋体" w:cs="Times New Roman"/>
          <w:color w:val="auto"/>
          <w:sz w:val="24"/>
          <w:szCs w:val="24"/>
          <w:lang w:val="en-US" w:eastAsia="zh-CN"/>
        </w:rPr>
        <w:t>不</w:t>
      </w:r>
      <w:r>
        <w:rPr>
          <w:rFonts w:hint="eastAsia"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lang w:val="en-US" w:eastAsia="zh-CN"/>
        </w:rPr>
        <w:t>重大变动。</w:t>
      </w:r>
    </w:p>
    <w:p w14:paraId="0DA1676C">
      <w:pPr>
        <w:keepNext w:val="0"/>
        <w:keepLines w:val="0"/>
        <w:pageBreakBefore w:val="0"/>
        <w:kinsoku/>
        <w:wordWrap/>
        <w:overflowPunct/>
        <w:topLinePunct w:val="0"/>
        <w:autoSpaceDE/>
        <w:autoSpaceDN/>
        <w:bidi w:val="0"/>
        <w:spacing w:after="0" w:line="480" w:lineRule="exact"/>
        <w:textAlignment w:val="auto"/>
        <w:rPr>
          <w:rFonts w:hint="default"/>
          <w:b/>
          <w:bCs/>
          <w:lang w:eastAsia="zh-CN"/>
        </w:rPr>
      </w:pPr>
      <w:r>
        <w:rPr>
          <w:rFonts w:hint="default"/>
          <w:b/>
          <w:bCs/>
          <w:lang w:eastAsia="zh-CN"/>
        </w:rPr>
        <w:t>三、环境保护设施建设情况</w:t>
      </w:r>
    </w:p>
    <w:p w14:paraId="082B046F">
      <w:pPr>
        <w:keepNext w:val="0"/>
        <w:keepLines w:val="0"/>
        <w:pageBreakBefore w:val="0"/>
        <w:kinsoku/>
        <w:wordWrap/>
        <w:overflowPunct/>
        <w:topLinePunct w:val="0"/>
        <w:autoSpaceDE/>
        <w:autoSpaceDN/>
        <w:bidi w:val="0"/>
        <w:spacing w:after="0"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（1）废水</w:t>
      </w:r>
    </w:p>
    <w:p w14:paraId="2505F5EC">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lang w:val="en-US" w:eastAsia="zh-CN"/>
        </w:rPr>
        <w:t>厂区调节池调节</w:t>
      </w:r>
      <w:r>
        <w:rPr>
          <w:rFonts w:hint="default" w:ascii="Times New Roman" w:hAnsi="Times New Roman" w:eastAsia="宋体" w:cs="Times New Roman"/>
          <w:color w:val="auto"/>
          <w:sz w:val="24"/>
          <w:szCs w:val="24"/>
          <w:lang w:val="en-US" w:eastAsia="zh-CN"/>
        </w:rPr>
        <w:t>后</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生活污水经化粪池处理后</w:t>
      </w:r>
      <w:r>
        <w:rPr>
          <w:rFonts w:hint="eastAsia" w:ascii="Times New Roman" w:hAnsi="Times New Roman" w:eastAsia="宋体" w:cs="Times New Roman"/>
          <w:color w:val="auto"/>
          <w:sz w:val="24"/>
          <w:szCs w:val="24"/>
          <w:lang w:val="en-US" w:eastAsia="zh-CN"/>
        </w:rPr>
        <w:t>，全厂废水一同通过厂区总排口经园区专用污水管网排入长垣市常源污水处理厂进一步处理</w:t>
      </w:r>
      <w:r>
        <w:rPr>
          <w:rFonts w:hint="default" w:ascii="Times New Roman" w:hAnsi="Times New Roman" w:eastAsia="宋体" w:cs="Times New Roman"/>
          <w:color w:val="auto"/>
          <w:sz w:val="24"/>
          <w:szCs w:val="24"/>
          <w:lang w:val="en-US" w:eastAsia="zh-CN"/>
        </w:rPr>
        <w:t>。因此，本项目废水对周围环境影响较小。</w:t>
      </w:r>
    </w:p>
    <w:p w14:paraId="08DBD8A8">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）废气</w:t>
      </w:r>
    </w:p>
    <w:p w14:paraId="49BF9FDD">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本项目封口废气</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产生的非甲烷总烃经</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“二级活性炭吸附装置”处理</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后由15m高排气筒排放（P1）。本项目废气经处理后可达标排放。</w:t>
      </w:r>
    </w:p>
    <w:p w14:paraId="037A1B08">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p>
    <w:p w14:paraId="5DC2CEC8">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本项目噪声源经选用低噪声设备、隔声、减振和消声措施后可达标排放，对区域环境基本无影响。</w:t>
      </w:r>
    </w:p>
    <w:p w14:paraId="4DC3CCA1">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）固废</w:t>
      </w:r>
    </w:p>
    <w:p w14:paraId="1C018453">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本项目产生的一般固废经收集后外售；设置危废间，危险废物在厂区暂存后，定期交由资质单位处置；生活垃圾经垃圾桶收集后由当地环卫部门处置。</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固体废物经采取上述处理措施，不对外排放，对周围环境不会造成污染影响。</w:t>
      </w:r>
    </w:p>
    <w:p w14:paraId="214EA33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b/>
          <w:bCs/>
          <w:lang w:eastAsia="zh-CN"/>
        </w:rPr>
      </w:pPr>
      <w:r>
        <w:rPr>
          <w:rFonts w:hint="default"/>
          <w:b/>
          <w:bCs/>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根据《</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河南仟钰食品科技有限公司年产1500吨豆制品项目</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竣工环境保护验收监测报告》，监测期间，各环保设施运行正常，生产负荷符合监测期间工况要求。监测结果表明：</w:t>
      </w:r>
    </w:p>
    <w:p w14:paraId="5AF8E52E">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（1）废气</w:t>
      </w:r>
    </w:p>
    <w:p w14:paraId="30BF4725">
      <w:pPr>
        <w:keepNext w:val="0"/>
        <w:keepLines w:val="0"/>
        <w:pageBreakBefore w:val="0"/>
        <w:widowControl/>
        <w:kinsoku/>
        <w:wordWrap/>
        <w:overflowPunct/>
        <w:topLinePunct w:val="0"/>
        <w:autoSpaceDE/>
        <w:autoSpaceDN/>
        <w:bidi w:val="0"/>
        <w:adjustRightInd w:val="0"/>
        <w:snapToGrid w:val="0"/>
        <w:spacing w:after="0" w:afterLines="0" w:line="520" w:lineRule="exact"/>
        <w:ind w:firstLine="465"/>
        <w:textAlignment w:val="auto"/>
        <w:outlineLvl w:val="9"/>
        <w:rPr>
          <w:rFonts w:hint="default" w:ascii="Times New Roman" w:hAnsi="Times New Roman" w:cs="Times New Roman"/>
          <w:b/>
          <w:bCs/>
          <w:color w:val="000000"/>
          <w:sz w:val="24"/>
          <w:u w:val="single"/>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有组织非甲烷总烃排放浓度为</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4.9</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37mg/m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满足</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《关于全省开展工业企业挥发性有机物专项治理工作中排放建议值的通知》（豫环攻坚办[2017]162号）（80mg/m</w:t>
      </w:r>
      <w:r>
        <w:rPr>
          <w:rFonts w:hint="eastAsia" w:ascii="Times New Roman" w:hAnsi="Times New Roman" w:cs="Times New Roman" w:eastAsiaTheme="minorEastAsia"/>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D820BC0">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无组织废气中非甲烷总烃排放浓度</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在0.41~0.69mg/m</w:t>
      </w:r>
      <w:r>
        <w:rPr>
          <w:rFonts w:hint="eastAsia" w:ascii="Times New Roman" w:hAnsi="Times New Roman" w:cs="Times New Roman" w:eastAsiaTheme="minorEastAsia"/>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满足</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关于全省开展工业企业挥发性有机物专项治理工作中排放建议值的通知》（豫环攻坚办（2017）162号文）</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的标准。</w:t>
      </w:r>
    </w:p>
    <w:p w14:paraId="2038F808">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eastAsia"/>
          <w:lang w:val="en-US" w:eastAsia="zh-CN"/>
        </w:rPr>
      </w:pPr>
      <w:r>
        <w:rPr>
          <w:rFonts w:hint="eastAsia"/>
          <w:lang w:val="en-US" w:eastAsia="zh-CN"/>
        </w:rPr>
        <w:t>（2）废水</w:t>
      </w:r>
    </w:p>
    <w:p w14:paraId="64DE6582">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项目废水主</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要为生活废水</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和生产废水</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生产废水经调节池预处理后与经化粪池处理后的</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一同进入长垣市常源污水处理厂，</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1248--1273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i w:val="0"/>
          <w:iCs w:val="0"/>
          <w:color w:val="000000"/>
          <w:kern w:val="0"/>
          <w:sz w:val="24"/>
          <w:szCs w:val="24"/>
          <w:highlight w:val="none"/>
          <w:u w:val="none"/>
          <w:lang w:val="en-US" w:eastAsia="zh-CN" w:bidi="ar"/>
        </w:rPr>
        <w:t>415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i w:val="0"/>
          <w:iCs w:val="0"/>
          <w:color w:val="000000"/>
          <w:kern w:val="0"/>
          <w:sz w:val="24"/>
          <w:szCs w:val="24"/>
          <w:highlight w:val="none"/>
          <w:u w:val="none"/>
          <w:lang w:val="en-US" w:eastAsia="zh-CN" w:bidi="ar"/>
        </w:rPr>
        <w:t>425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70-75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eastAsia" w:ascii="Times New Roman" w:hAnsi="Times New Roman" w:eastAsia="宋体" w:cs="Times New Roman"/>
          <w:i w:val="0"/>
          <w:iCs w:val="0"/>
          <w:color w:val="auto"/>
          <w:kern w:val="0"/>
          <w:sz w:val="24"/>
          <w:szCs w:val="24"/>
          <w:highlight w:val="none"/>
          <w:u w:val="none"/>
          <w:lang w:val="en-US" w:eastAsia="zh-CN" w:bidi="ar"/>
        </w:rPr>
        <w:t>9.47</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-9.71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eastAsia" w:ascii="Times New Roman" w:hAnsi="Times New Roman" w:eastAsia="宋体" w:cs="Times New Roman"/>
          <w:i w:val="0"/>
          <w:iCs w:val="0"/>
          <w:color w:val="auto"/>
          <w:kern w:val="0"/>
          <w:sz w:val="24"/>
          <w:szCs w:val="24"/>
          <w:highlight w:val="none"/>
          <w:u w:val="none"/>
          <w:lang w:val="en-US" w:eastAsia="zh-CN" w:bidi="ar"/>
        </w:rPr>
        <w:t>41.3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-43.9</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、总磷为4.1-4.37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mg/L满足长垣市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常源污水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处理厂收水标准。</w:t>
      </w:r>
      <w:r>
        <w:rPr>
          <w:rFonts w:hint="eastAsia"/>
          <w:lang w:val="en-US" w:eastAsia="zh-CN"/>
        </w:rPr>
        <w:t>（3）</w:t>
      </w:r>
      <w:r>
        <w:rPr>
          <w:rFonts w:hint="default"/>
          <w:lang w:val="en-US" w:eastAsia="zh-CN"/>
        </w:rPr>
        <w:t>噪声</w:t>
      </w:r>
    </w:p>
    <w:p w14:paraId="5DEF1DEB">
      <w:pPr>
        <w:pStyle w:val="1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41-44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lang w:val="en-US" w:eastAsia="zh-CN"/>
        </w:rPr>
        <w:t>。</w:t>
      </w:r>
    </w:p>
    <w:p w14:paraId="05B2CCF1">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eastAsia"/>
          <w:lang w:val="en-US" w:eastAsia="zh-CN"/>
        </w:rPr>
      </w:pPr>
      <w:r>
        <w:rPr>
          <w:rFonts w:hint="eastAsia"/>
          <w:lang w:val="en-US" w:eastAsia="zh-CN"/>
        </w:rPr>
        <w:t>（4）固废</w:t>
      </w:r>
    </w:p>
    <w:p w14:paraId="7A93933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cs="Times New Roman" w:eastAsiaTheme="majorEastAsia"/>
          <w:b w:val="0"/>
          <w:bCs/>
          <w:color w:val="auto"/>
          <w:sz w:val="24"/>
          <w:szCs w:val="24"/>
          <w:lang w:val="en-US" w:eastAsia="zh-CN"/>
        </w:rPr>
      </w:pPr>
      <w:r>
        <w:rPr>
          <w:rFonts w:hint="default" w:ascii="Times New Roman" w:hAnsi="Times New Roman" w:eastAsia="宋体" w:cs="Times New Roman"/>
          <w:b w:val="0"/>
          <w:bCs w:val="0"/>
          <w:sz w:val="24"/>
          <w:szCs w:val="24"/>
          <w:u w:val="none"/>
        </w:rPr>
        <w:t>本项目</w:t>
      </w:r>
      <w:r>
        <w:rPr>
          <w:rFonts w:hint="default" w:ascii="Times New Roman" w:hAnsi="Times New Roman" w:eastAsia="宋体" w:cs="Times New Roman"/>
          <w:b w:val="0"/>
          <w:bCs w:val="0"/>
          <w:sz w:val="24"/>
          <w:szCs w:val="24"/>
          <w:u w:val="none"/>
          <w:lang w:val="en-US" w:eastAsia="zh-CN"/>
        </w:rPr>
        <w:t>产生的一般固废经</w:t>
      </w:r>
      <w:r>
        <w:rPr>
          <w:rFonts w:hint="default" w:ascii="Times New Roman" w:hAnsi="Times New Roman" w:eastAsia="宋体" w:cs="Times New Roman"/>
          <w:b w:val="0"/>
          <w:bCs w:val="0"/>
          <w:sz w:val="24"/>
          <w:szCs w:val="24"/>
          <w:u w:val="none"/>
        </w:rPr>
        <w:t>收集后</w:t>
      </w:r>
      <w:r>
        <w:rPr>
          <w:rFonts w:hint="default" w:ascii="Times New Roman" w:hAnsi="Times New Roman" w:eastAsia="宋体" w:cs="Times New Roman"/>
          <w:b w:val="0"/>
          <w:bCs w:val="0"/>
          <w:color w:val="auto"/>
          <w:sz w:val="24"/>
          <w:szCs w:val="24"/>
          <w:u w:val="none"/>
        </w:rPr>
        <w:t>外售</w:t>
      </w:r>
      <w:r>
        <w:rPr>
          <w:rFonts w:hint="default" w:ascii="Times New Roman" w:hAnsi="Times New Roman" w:eastAsia="宋体" w:cs="Times New Roman"/>
          <w:b w:val="0"/>
          <w:bCs w:val="0"/>
          <w:sz w:val="24"/>
          <w:szCs w:val="24"/>
          <w:u w:val="none"/>
        </w:rPr>
        <w:t>；设置危废间，</w:t>
      </w:r>
      <w:r>
        <w:rPr>
          <w:rFonts w:hint="default" w:ascii="Times New Roman" w:hAnsi="Times New Roman" w:eastAsia="宋体" w:cs="Times New Roman"/>
          <w:b w:val="0"/>
          <w:bCs w:val="0"/>
          <w:sz w:val="24"/>
          <w:szCs w:val="24"/>
          <w:u w:val="none"/>
          <w:lang w:val="en-US" w:eastAsia="zh-CN"/>
        </w:rPr>
        <w:t>危险废物</w:t>
      </w:r>
      <w:r>
        <w:rPr>
          <w:rFonts w:hint="default" w:ascii="Times New Roman" w:hAnsi="Times New Roman" w:eastAsia="宋体" w:cs="Times New Roman"/>
          <w:b w:val="0"/>
          <w:bCs w:val="0"/>
          <w:sz w:val="24"/>
          <w:szCs w:val="24"/>
          <w:u w:val="none"/>
        </w:rPr>
        <w:t>在厂区暂存后，定期交由资质单位处置</w:t>
      </w:r>
      <w:r>
        <w:rPr>
          <w:rFonts w:hint="default" w:ascii="Times New Roman" w:hAnsi="Times New Roman" w:eastAsia="宋体" w:cs="Times New Roman"/>
          <w:b w:val="0"/>
          <w:bCs w:val="0"/>
          <w:sz w:val="24"/>
          <w:szCs w:val="24"/>
          <w:u w:val="none"/>
          <w:lang w:eastAsia="zh-CN"/>
        </w:rPr>
        <w:t>；</w:t>
      </w:r>
      <w:r>
        <w:rPr>
          <w:rFonts w:hint="default" w:ascii="Times New Roman" w:hAnsi="Times New Roman" w:eastAsia="宋体" w:cs="Times New Roman"/>
          <w:b w:val="0"/>
          <w:bCs w:val="0"/>
          <w:sz w:val="24"/>
          <w:szCs w:val="24"/>
          <w:u w:val="none"/>
        </w:rPr>
        <w:t>生活垃圾</w:t>
      </w:r>
      <w:r>
        <w:rPr>
          <w:rFonts w:hint="default" w:ascii="Times New Roman" w:hAnsi="Times New Roman" w:eastAsia="宋体" w:cs="Times New Roman"/>
          <w:b w:val="0"/>
          <w:bCs w:val="0"/>
          <w:sz w:val="24"/>
          <w:szCs w:val="24"/>
          <w:u w:val="none"/>
          <w:lang w:val="en-US" w:eastAsia="zh-CN"/>
        </w:rPr>
        <w:t>经垃圾桶收集后由</w:t>
      </w:r>
      <w:r>
        <w:rPr>
          <w:rFonts w:hint="default" w:ascii="Times New Roman" w:hAnsi="Times New Roman" w:eastAsia="宋体" w:cs="Times New Roman"/>
          <w:b w:val="0"/>
          <w:bCs w:val="0"/>
          <w:sz w:val="24"/>
          <w:szCs w:val="24"/>
          <w:u w:val="none"/>
        </w:rPr>
        <w:t>当地环卫部门处置</w:t>
      </w:r>
      <w:r>
        <w:rPr>
          <w:rFonts w:hint="eastAsia"/>
          <w:sz w:val="24"/>
          <w:szCs w:val="24"/>
        </w:rPr>
        <w:t>。</w:t>
      </w:r>
      <w:r>
        <w:rPr>
          <w:rFonts w:hint="eastAsia" w:ascii="Times New Roman" w:hAnsi="Times New Roman" w:cs="Times New Roman" w:eastAsiaTheme="majorEastAsia"/>
          <w:b w:val="0"/>
          <w:bCs/>
          <w:color w:val="auto"/>
          <w:sz w:val="24"/>
          <w:szCs w:val="24"/>
          <w:lang w:val="en-US" w:eastAsia="zh-CN"/>
        </w:rPr>
        <w:t>固体废物经采取上述处理措施，不对外排放。因此本次验收监测不涉及固体废物的监测。</w:t>
      </w: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b/>
          <w:bCs/>
          <w:lang w:eastAsia="zh-CN"/>
        </w:rPr>
      </w:pPr>
      <w:r>
        <w:rPr>
          <w:rFonts w:hint="default"/>
          <w:b/>
          <w:bCs/>
          <w:lang w:eastAsia="zh-CN"/>
        </w:rPr>
        <w:t>五、验收结论</w:t>
      </w:r>
    </w:p>
    <w:p w14:paraId="30DB0EA5">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cs="Times New Roman" w:eastAsiaTheme="majorEastAsia"/>
          <w:b w:val="0"/>
          <w:bCs/>
          <w:color w:val="auto"/>
          <w:sz w:val="24"/>
          <w:szCs w:val="24"/>
          <w:lang w:val="en-US" w:eastAsia="zh-CN"/>
        </w:rPr>
      </w:pPr>
      <w:r>
        <w:rPr>
          <w:rFonts w:hint="default" w:ascii="Times New Roman" w:hAnsi="Times New Roman" w:cs="Times New Roman" w:eastAsiaTheme="majorEastAsia"/>
          <w:b w:val="0"/>
          <w:bCs/>
          <w:color w:val="auto"/>
          <w:sz w:val="24"/>
          <w:szCs w:val="24"/>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cs="Times New Roman" w:eastAsiaTheme="majorEastAsia"/>
          <w:b/>
          <w:bCs w:val="0"/>
          <w:color w:val="auto"/>
          <w:sz w:val="24"/>
          <w:szCs w:val="24"/>
          <w:lang w:val="en-US" w:eastAsia="zh-CN"/>
        </w:rPr>
      </w:pPr>
      <w:r>
        <w:rPr>
          <w:rFonts w:hint="default" w:ascii="Times New Roman" w:hAnsi="Times New Roman" w:cs="Times New Roman" w:eastAsiaTheme="majorEastAsia"/>
          <w:b/>
          <w:bCs w:val="0"/>
          <w:color w:val="auto"/>
          <w:sz w:val="24"/>
          <w:szCs w:val="24"/>
          <w:lang w:val="en-US" w:eastAsia="zh-CN"/>
        </w:rPr>
        <w:t>综上所述，</w:t>
      </w:r>
      <w:r>
        <w:rPr>
          <w:rFonts w:hint="eastAsia" w:ascii="Times New Roman" w:hAnsi="Times New Roman" w:cs="Times New Roman" w:eastAsiaTheme="majorEastAsia"/>
          <w:b/>
          <w:bCs w:val="0"/>
          <w:color w:val="auto"/>
          <w:sz w:val="24"/>
          <w:szCs w:val="24"/>
          <w:lang w:val="en-US" w:eastAsia="zh-CN"/>
        </w:rPr>
        <w:t>《河南仟钰食品科技有限公司年产1500吨豆制品项目》</w:t>
      </w:r>
      <w:r>
        <w:rPr>
          <w:rFonts w:hint="default" w:ascii="Times New Roman" w:hAnsi="Times New Roman" w:cs="Times New Roman" w:eastAsiaTheme="majorEastAsia"/>
          <w:b/>
          <w:bCs w:val="0"/>
          <w:color w:val="auto"/>
          <w:sz w:val="24"/>
          <w:szCs w:val="24"/>
          <w:lang w:val="en-US" w:eastAsia="zh-CN"/>
        </w:rPr>
        <w:t>不存在《建设项目竣工环境保护暂行办法》中所规定的验收不合格情形，验收组一致同意本项目通过项目竣工环境保护验收。</w:t>
      </w:r>
    </w:p>
    <w:p w14:paraId="274ED94A">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b/>
          <w:bCs/>
        </w:rPr>
      </w:pPr>
      <w:r>
        <w:rPr>
          <w:rFonts w:hint="default"/>
          <w:b/>
          <w:bCs/>
        </w:rPr>
        <w:t>建议：</w:t>
      </w:r>
    </w:p>
    <w:p w14:paraId="75B4A41F">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cs="Times New Roman" w:eastAsiaTheme="majorEastAsia"/>
          <w:b w:val="0"/>
          <w:bCs/>
          <w:color w:val="auto"/>
          <w:sz w:val="24"/>
          <w:szCs w:val="24"/>
          <w:lang w:val="en-US" w:eastAsia="zh-CN"/>
        </w:rPr>
      </w:pPr>
      <w:r>
        <w:rPr>
          <w:rFonts w:hint="eastAsia" w:ascii="Times New Roman" w:hAnsi="Times New Roman" w:cs="Times New Roman" w:eastAsiaTheme="majorEastAsia"/>
          <w:b w:val="0"/>
          <w:bCs/>
          <w:color w:val="auto"/>
          <w:sz w:val="24"/>
          <w:szCs w:val="24"/>
          <w:lang w:val="en-US" w:eastAsia="zh-CN"/>
        </w:rPr>
        <w:t xml:space="preserve">1. </w:t>
      </w:r>
      <w:r>
        <w:rPr>
          <w:rFonts w:hint="default" w:ascii="Times New Roman" w:hAnsi="Times New Roman" w:cs="Times New Roman" w:eastAsiaTheme="majorEastAsia"/>
          <w:b w:val="0"/>
          <w:bCs/>
          <w:color w:val="auto"/>
          <w:sz w:val="24"/>
          <w:szCs w:val="24"/>
          <w:lang w:val="en-US" w:eastAsia="zh-CN"/>
        </w:rPr>
        <w:t>对各种污染防治措施加强管理，发现问题及时采取措施解决，确保污染治理设施能够长期稳定运行，做到污染物稳定达标排放。</w:t>
      </w:r>
    </w:p>
    <w:p w14:paraId="17B02C02">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eastAsia" w:ascii="Times New Roman" w:hAnsi="Times New Roman" w:cs="Times New Roman" w:eastAsiaTheme="majorEastAsia"/>
          <w:b w:val="0"/>
          <w:bCs/>
          <w:color w:val="auto"/>
          <w:sz w:val="24"/>
          <w:szCs w:val="24"/>
          <w:lang w:val="en-US" w:eastAsia="zh-CN"/>
        </w:rPr>
      </w:pPr>
      <w:r>
        <w:rPr>
          <w:rFonts w:hint="eastAsia" w:ascii="Times New Roman" w:hAnsi="Times New Roman" w:cs="Times New Roman" w:eastAsiaTheme="majorEastAsia"/>
          <w:b w:val="0"/>
          <w:bCs/>
          <w:color w:val="auto"/>
          <w:sz w:val="24"/>
          <w:szCs w:val="24"/>
          <w:lang w:val="en-US" w:eastAsia="zh-CN"/>
        </w:rPr>
        <w:t>2. 认真落实各项环境保护制度</w:t>
      </w:r>
      <w:r>
        <w:rPr>
          <w:rFonts w:hint="default" w:ascii="Times New Roman" w:hAnsi="Times New Roman" w:cs="Times New Roman" w:eastAsiaTheme="majorEastAsia"/>
          <w:b w:val="0"/>
          <w:bCs/>
          <w:color w:val="auto"/>
          <w:sz w:val="24"/>
          <w:szCs w:val="24"/>
          <w:lang w:val="en-US" w:eastAsia="zh-CN"/>
        </w:rPr>
        <w:t>，规范环保标</w:t>
      </w:r>
      <w:r>
        <w:rPr>
          <w:rFonts w:hint="eastAsia" w:ascii="Times New Roman" w:hAnsi="Times New Roman" w:cs="Times New Roman" w:eastAsiaTheme="majorEastAsia"/>
          <w:b w:val="0"/>
          <w:bCs/>
          <w:color w:val="auto"/>
          <w:sz w:val="24"/>
          <w:szCs w:val="24"/>
          <w:lang w:val="en-US" w:eastAsia="zh-CN"/>
        </w:rPr>
        <w:t>。</w:t>
      </w:r>
    </w:p>
    <w:p w14:paraId="59595683">
      <w:pPr>
        <w:pStyle w:val="2"/>
        <w:rPr>
          <w:rFonts w:hint="eastAsia" w:eastAsia="宋体"/>
          <w:lang w:eastAsia="zh-CN"/>
        </w:rPr>
        <w:sectPr>
          <w:pgSz w:w="11906" w:h="16838"/>
          <w:pgMar w:top="1440" w:right="1800" w:bottom="1440" w:left="1800" w:header="851" w:footer="992" w:gutter="0"/>
          <w:cols w:space="425" w:num="1"/>
          <w:docGrid w:type="lines" w:linePitch="312" w:charSpace="0"/>
        </w:sectPr>
      </w:pPr>
      <w:bookmarkStart w:id="8" w:name="_GoBack"/>
      <w:bookmarkEnd w:id="8"/>
    </w:p>
    <w:p w14:paraId="4B97C6E5">
      <w:pPr>
        <w:rPr>
          <w:rFonts w:hint="default"/>
          <w:lang w:val="en-US" w:eastAsia="zh-CN"/>
        </w:rPr>
      </w:pPr>
      <w:r>
        <w:rPr>
          <w:rFonts w:hint="eastAsia"/>
          <w:lang w:eastAsia="zh-CN"/>
        </w:rPr>
        <w:drawing>
          <wp:inline distT="0" distB="0" distL="114300" distR="114300">
            <wp:extent cx="5968365" cy="8729980"/>
            <wp:effectExtent l="0" t="0" r="13335" b="13970"/>
            <wp:docPr id="4" name="图片 4" descr="dd897f04e6c2e6fb5b8578158086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897f04e6c2e6fb5b857815808696f"/>
                    <pic:cNvPicPr>
                      <a:picLocks noChangeAspect="1"/>
                    </pic:cNvPicPr>
                  </pic:nvPicPr>
                  <pic:blipFill>
                    <a:blip r:embed="rId32"/>
                    <a:stretch>
                      <a:fillRect/>
                    </a:stretch>
                  </pic:blipFill>
                  <pic:spPr>
                    <a:xfrm>
                      <a:off x="0" y="0"/>
                      <a:ext cx="5968365" cy="8729980"/>
                    </a:xfrm>
                    <a:prstGeom prst="rect">
                      <a:avLst/>
                    </a:prstGeom>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ESI宋体-GB2312">
    <w:altName w:val="宋体"/>
    <w:panose1 w:val="02000500000000000000"/>
    <w:charset w:val="86"/>
    <w:family w:val="auto"/>
    <w:pitch w:val="default"/>
    <w:sig w:usb0="00000000" w:usb1="00000000" w:usb2="00000010"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9114">
    <w:pPr>
      <w:pStyle w:val="24"/>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BC92E">
    <w:pPr>
      <w:pStyle w:val="24"/>
      <w:spacing w:after="0" w:afterLines="0"/>
      <w:ind w:right="360"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043CD">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C8043CD">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B038D">
    <w:pPr>
      <w:pStyle w:val="24"/>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A6154">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62AA6154">
                    <w:pPr>
                      <w:pStyle w:val="2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8C893">
    <w:pPr>
      <w:pStyle w:val="24"/>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747D">
    <w:pPr>
      <w:pStyle w:val="25"/>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FC51">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A7904"/>
    <w:multiLevelType w:val="singleLevel"/>
    <w:tmpl w:val="B48A7904"/>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EDB7FCD5"/>
    <w:multiLevelType w:val="singleLevel"/>
    <w:tmpl w:val="EDB7FCD5"/>
    <w:lvl w:ilvl="0" w:tentative="0">
      <w:start w:val="3"/>
      <w:numFmt w:val="decimal"/>
      <w:suff w:val="nothing"/>
      <w:lvlText w:val="%1、"/>
      <w:lvlJc w:val="left"/>
    </w:lvl>
  </w:abstractNum>
  <w:abstractNum w:abstractNumId="3">
    <w:nsid w:val="0CC7E3B3"/>
    <w:multiLevelType w:val="singleLevel"/>
    <w:tmpl w:val="0CC7E3B3"/>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hMTc3Y2Q4MjRiNGFmNWUwNzhmYjNiNDBiOGQ3NjQifQ=="/>
  </w:docVars>
  <w:rsids>
    <w:rsidRoot w:val="00000000"/>
    <w:rsid w:val="00382DEE"/>
    <w:rsid w:val="0065769D"/>
    <w:rsid w:val="00860ECC"/>
    <w:rsid w:val="00A16BE5"/>
    <w:rsid w:val="01284DE3"/>
    <w:rsid w:val="01351AD3"/>
    <w:rsid w:val="014602E8"/>
    <w:rsid w:val="017D0BAC"/>
    <w:rsid w:val="01830099"/>
    <w:rsid w:val="01A7655E"/>
    <w:rsid w:val="01BD1FE9"/>
    <w:rsid w:val="01C54EC2"/>
    <w:rsid w:val="02274460"/>
    <w:rsid w:val="025816D0"/>
    <w:rsid w:val="02855713"/>
    <w:rsid w:val="02952F0A"/>
    <w:rsid w:val="02B7449E"/>
    <w:rsid w:val="02FC45A7"/>
    <w:rsid w:val="031669C2"/>
    <w:rsid w:val="0323153F"/>
    <w:rsid w:val="032A1114"/>
    <w:rsid w:val="036F1918"/>
    <w:rsid w:val="039B1E48"/>
    <w:rsid w:val="039C57C0"/>
    <w:rsid w:val="03C03826"/>
    <w:rsid w:val="03E017D2"/>
    <w:rsid w:val="03EF1A15"/>
    <w:rsid w:val="03F46567"/>
    <w:rsid w:val="04170DA0"/>
    <w:rsid w:val="04272D07"/>
    <w:rsid w:val="043833BC"/>
    <w:rsid w:val="04472EF2"/>
    <w:rsid w:val="04616B81"/>
    <w:rsid w:val="047A29CA"/>
    <w:rsid w:val="04B619E4"/>
    <w:rsid w:val="04DE629D"/>
    <w:rsid w:val="04F56444"/>
    <w:rsid w:val="052D4E19"/>
    <w:rsid w:val="053417DF"/>
    <w:rsid w:val="05375DA4"/>
    <w:rsid w:val="05926AFC"/>
    <w:rsid w:val="05B11678"/>
    <w:rsid w:val="05D67331"/>
    <w:rsid w:val="0601416A"/>
    <w:rsid w:val="06313916"/>
    <w:rsid w:val="06334642"/>
    <w:rsid w:val="06432610"/>
    <w:rsid w:val="06507078"/>
    <w:rsid w:val="065D00C4"/>
    <w:rsid w:val="066C1A43"/>
    <w:rsid w:val="06733AF8"/>
    <w:rsid w:val="06C47189"/>
    <w:rsid w:val="073044D1"/>
    <w:rsid w:val="07380333"/>
    <w:rsid w:val="07733BE5"/>
    <w:rsid w:val="077A1F3E"/>
    <w:rsid w:val="07AA45D1"/>
    <w:rsid w:val="07BB6648"/>
    <w:rsid w:val="07D72EEC"/>
    <w:rsid w:val="08183C31"/>
    <w:rsid w:val="082A0D46"/>
    <w:rsid w:val="08387626"/>
    <w:rsid w:val="08691AC5"/>
    <w:rsid w:val="0876200C"/>
    <w:rsid w:val="08870ADD"/>
    <w:rsid w:val="08AE7FE7"/>
    <w:rsid w:val="08B576D2"/>
    <w:rsid w:val="08DF5C89"/>
    <w:rsid w:val="09300540"/>
    <w:rsid w:val="096E7880"/>
    <w:rsid w:val="098C2737"/>
    <w:rsid w:val="09BF4A8E"/>
    <w:rsid w:val="09C41690"/>
    <w:rsid w:val="09D44314"/>
    <w:rsid w:val="09E42883"/>
    <w:rsid w:val="0AAB36EF"/>
    <w:rsid w:val="0AAE0442"/>
    <w:rsid w:val="0AE54CD1"/>
    <w:rsid w:val="0B0F559E"/>
    <w:rsid w:val="0B2C6E72"/>
    <w:rsid w:val="0B387E93"/>
    <w:rsid w:val="0B3F197D"/>
    <w:rsid w:val="0BBF43C3"/>
    <w:rsid w:val="0BF56037"/>
    <w:rsid w:val="0C844276"/>
    <w:rsid w:val="0CBF3863"/>
    <w:rsid w:val="0CD95666"/>
    <w:rsid w:val="0D15350E"/>
    <w:rsid w:val="0D2A1A6E"/>
    <w:rsid w:val="0D336E17"/>
    <w:rsid w:val="0D7A48C8"/>
    <w:rsid w:val="0D7D2F82"/>
    <w:rsid w:val="0D820B65"/>
    <w:rsid w:val="0D914897"/>
    <w:rsid w:val="0D991370"/>
    <w:rsid w:val="0DE95727"/>
    <w:rsid w:val="0DF04D08"/>
    <w:rsid w:val="0DFC36AD"/>
    <w:rsid w:val="0DFF0A32"/>
    <w:rsid w:val="0DFF6265"/>
    <w:rsid w:val="0E3E3CC5"/>
    <w:rsid w:val="0E6B2A97"/>
    <w:rsid w:val="0E836F3C"/>
    <w:rsid w:val="0EA0672E"/>
    <w:rsid w:val="0EBE3B1F"/>
    <w:rsid w:val="0EC00B7E"/>
    <w:rsid w:val="0EC42A9A"/>
    <w:rsid w:val="0F361B7A"/>
    <w:rsid w:val="0F480B8E"/>
    <w:rsid w:val="0FAE6C29"/>
    <w:rsid w:val="0FD64F0C"/>
    <w:rsid w:val="0FF10DE9"/>
    <w:rsid w:val="10342360"/>
    <w:rsid w:val="10463305"/>
    <w:rsid w:val="107E5F36"/>
    <w:rsid w:val="108B0D18"/>
    <w:rsid w:val="109117B7"/>
    <w:rsid w:val="10C55FD8"/>
    <w:rsid w:val="10EB611F"/>
    <w:rsid w:val="11290C5D"/>
    <w:rsid w:val="113D3B56"/>
    <w:rsid w:val="11515ABE"/>
    <w:rsid w:val="11553800"/>
    <w:rsid w:val="11711849"/>
    <w:rsid w:val="11E05DD9"/>
    <w:rsid w:val="11E20E0C"/>
    <w:rsid w:val="11EF20A7"/>
    <w:rsid w:val="11F441AE"/>
    <w:rsid w:val="12555A81"/>
    <w:rsid w:val="12590EE9"/>
    <w:rsid w:val="12693061"/>
    <w:rsid w:val="131D56A4"/>
    <w:rsid w:val="13260298"/>
    <w:rsid w:val="134E1CE9"/>
    <w:rsid w:val="135B30AB"/>
    <w:rsid w:val="13FA41EA"/>
    <w:rsid w:val="14276FAA"/>
    <w:rsid w:val="14423785"/>
    <w:rsid w:val="1469067F"/>
    <w:rsid w:val="1479029B"/>
    <w:rsid w:val="14C52F73"/>
    <w:rsid w:val="14CE2346"/>
    <w:rsid w:val="150617E2"/>
    <w:rsid w:val="15AF07A4"/>
    <w:rsid w:val="15B54A31"/>
    <w:rsid w:val="15C20338"/>
    <w:rsid w:val="16161084"/>
    <w:rsid w:val="168A195D"/>
    <w:rsid w:val="168B6CD9"/>
    <w:rsid w:val="16961D52"/>
    <w:rsid w:val="172C49E3"/>
    <w:rsid w:val="17490AA7"/>
    <w:rsid w:val="178E7A6B"/>
    <w:rsid w:val="17946704"/>
    <w:rsid w:val="17DD255B"/>
    <w:rsid w:val="17E04904"/>
    <w:rsid w:val="17F3761E"/>
    <w:rsid w:val="17FC0E5A"/>
    <w:rsid w:val="18155A97"/>
    <w:rsid w:val="18D85379"/>
    <w:rsid w:val="18E15979"/>
    <w:rsid w:val="19315222"/>
    <w:rsid w:val="193637FB"/>
    <w:rsid w:val="193A0160"/>
    <w:rsid w:val="1942015E"/>
    <w:rsid w:val="194D300E"/>
    <w:rsid w:val="1969357D"/>
    <w:rsid w:val="1A2B629C"/>
    <w:rsid w:val="1A632798"/>
    <w:rsid w:val="1AB377E9"/>
    <w:rsid w:val="1ABD41C4"/>
    <w:rsid w:val="1AFD2812"/>
    <w:rsid w:val="1AFF2A2E"/>
    <w:rsid w:val="1B040045"/>
    <w:rsid w:val="1B413E83"/>
    <w:rsid w:val="1B684985"/>
    <w:rsid w:val="1B852994"/>
    <w:rsid w:val="1B957992"/>
    <w:rsid w:val="1B99078D"/>
    <w:rsid w:val="1BA6466B"/>
    <w:rsid w:val="1BAE7166"/>
    <w:rsid w:val="1BB5039E"/>
    <w:rsid w:val="1BBF3B6C"/>
    <w:rsid w:val="1C114472"/>
    <w:rsid w:val="1C224902"/>
    <w:rsid w:val="1C661099"/>
    <w:rsid w:val="1C6E1C1A"/>
    <w:rsid w:val="1CA236EB"/>
    <w:rsid w:val="1D3C373F"/>
    <w:rsid w:val="1D5D50D3"/>
    <w:rsid w:val="1D64196A"/>
    <w:rsid w:val="1E0176BB"/>
    <w:rsid w:val="1ED0096A"/>
    <w:rsid w:val="1ED31073"/>
    <w:rsid w:val="1ED47D35"/>
    <w:rsid w:val="1EDF7225"/>
    <w:rsid w:val="1EEB7551"/>
    <w:rsid w:val="1F105DA0"/>
    <w:rsid w:val="1F2C36C6"/>
    <w:rsid w:val="1F6F39DA"/>
    <w:rsid w:val="1FC701AB"/>
    <w:rsid w:val="1FD3789B"/>
    <w:rsid w:val="1FD66C0C"/>
    <w:rsid w:val="1FE2227E"/>
    <w:rsid w:val="1FE70A53"/>
    <w:rsid w:val="1FF269E9"/>
    <w:rsid w:val="1FF655A3"/>
    <w:rsid w:val="1FF70B16"/>
    <w:rsid w:val="20482782"/>
    <w:rsid w:val="207A4B81"/>
    <w:rsid w:val="20B4534C"/>
    <w:rsid w:val="20C444FE"/>
    <w:rsid w:val="20DD75B7"/>
    <w:rsid w:val="20FC64B0"/>
    <w:rsid w:val="210522FE"/>
    <w:rsid w:val="211703FC"/>
    <w:rsid w:val="212C36E0"/>
    <w:rsid w:val="216856EC"/>
    <w:rsid w:val="21690C01"/>
    <w:rsid w:val="21794BA9"/>
    <w:rsid w:val="21DE021C"/>
    <w:rsid w:val="22010E3A"/>
    <w:rsid w:val="221C3EC6"/>
    <w:rsid w:val="221E5B12"/>
    <w:rsid w:val="22245B49"/>
    <w:rsid w:val="223326FC"/>
    <w:rsid w:val="223D59DE"/>
    <w:rsid w:val="224F6049"/>
    <w:rsid w:val="22547B9B"/>
    <w:rsid w:val="228A78CF"/>
    <w:rsid w:val="22EF57EC"/>
    <w:rsid w:val="22FA4207"/>
    <w:rsid w:val="231E5247"/>
    <w:rsid w:val="232B0864"/>
    <w:rsid w:val="23696C97"/>
    <w:rsid w:val="23735D67"/>
    <w:rsid w:val="237644F1"/>
    <w:rsid w:val="238910E7"/>
    <w:rsid w:val="23AB3753"/>
    <w:rsid w:val="23B90BE1"/>
    <w:rsid w:val="23DF51AB"/>
    <w:rsid w:val="2438065E"/>
    <w:rsid w:val="247B4ED4"/>
    <w:rsid w:val="248B0E8F"/>
    <w:rsid w:val="24B05DC6"/>
    <w:rsid w:val="24E969A8"/>
    <w:rsid w:val="252734AA"/>
    <w:rsid w:val="25777B6F"/>
    <w:rsid w:val="25AA69EB"/>
    <w:rsid w:val="25D77E82"/>
    <w:rsid w:val="25F210CB"/>
    <w:rsid w:val="25F71631"/>
    <w:rsid w:val="25F90EFB"/>
    <w:rsid w:val="260929B3"/>
    <w:rsid w:val="260C4038"/>
    <w:rsid w:val="2613738E"/>
    <w:rsid w:val="261C5095"/>
    <w:rsid w:val="26316E73"/>
    <w:rsid w:val="26764952"/>
    <w:rsid w:val="26881B2A"/>
    <w:rsid w:val="269F549E"/>
    <w:rsid w:val="26A013A4"/>
    <w:rsid w:val="26A34480"/>
    <w:rsid w:val="26BA2791"/>
    <w:rsid w:val="26E31BFB"/>
    <w:rsid w:val="26FC7E22"/>
    <w:rsid w:val="27A160CE"/>
    <w:rsid w:val="27CA71A6"/>
    <w:rsid w:val="27CD4E0F"/>
    <w:rsid w:val="27D6204F"/>
    <w:rsid w:val="2811744B"/>
    <w:rsid w:val="2867768D"/>
    <w:rsid w:val="28E62B38"/>
    <w:rsid w:val="28E74E68"/>
    <w:rsid w:val="28F039B6"/>
    <w:rsid w:val="299D58EC"/>
    <w:rsid w:val="29C514FC"/>
    <w:rsid w:val="29C54E43"/>
    <w:rsid w:val="29D10832"/>
    <w:rsid w:val="29F55728"/>
    <w:rsid w:val="29FA1C5F"/>
    <w:rsid w:val="2A36189D"/>
    <w:rsid w:val="2A3F69A3"/>
    <w:rsid w:val="2A491B48"/>
    <w:rsid w:val="2A527567"/>
    <w:rsid w:val="2AAA1004"/>
    <w:rsid w:val="2ABF1892"/>
    <w:rsid w:val="2AD52E64"/>
    <w:rsid w:val="2AE62216"/>
    <w:rsid w:val="2AEA28BE"/>
    <w:rsid w:val="2AF61868"/>
    <w:rsid w:val="2B2F0476"/>
    <w:rsid w:val="2B4601C8"/>
    <w:rsid w:val="2B4A5600"/>
    <w:rsid w:val="2B6F254B"/>
    <w:rsid w:val="2BB1430A"/>
    <w:rsid w:val="2BBB5F91"/>
    <w:rsid w:val="2BCF1FA9"/>
    <w:rsid w:val="2C2A0CC6"/>
    <w:rsid w:val="2C305E98"/>
    <w:rsid w:val="2C615D7F"/>
    <w:rsid w:val="2C7F48C7"/>
    <w:rsid w:val="2CE87D29"/>
    <w:rsid w:val="2D085772"/>
    <w:rsid w:val="2D3A17CD"/>
    <w:rsid w:val="2D6D3182"/>
    <w:rsid w:val="2D916C28"/>
    <w:rsid w:val="2DB43204"/>
    <w:rsid w:val="2DCD42C6"/>
    <w:rsid w:val="2DEF2C60"/>
    <w:rsid w:val="2E3F6F72"/>
    <w:rsid w:val="2E714294"/>
    <w:rsid w:val="2E9F2218"/>
    <w:rsid w:val="2EAB0724"/>
    <w:rsid w:val="2EE8585B"/>
    <w:rsid w:val="2EF7784D"/>
    <w:rsid w:val="2EFE0BDB"/>
    <w:rsid w:val="2EFF086E"/>
    <w:rsid w:val="2F186DC6"/>
    <w:rsid w:val="2F397728"/>
    <w:rsid w:val="2F416820"/>
    <w:rsid w:val="2F4A02C4"/>
    <w:rsid w:val="2FB07555"/>
    <w:rsid w:val="2FD95FE3"/>
    <w:rsid w:val="2FE25B75"/>
    <w:rsid w:val="2FEE6EA1"/>
    <w:rsid w:val="3006560C"/>
    <w:rsid w:val="303C125A"/>
    <w:rsid w:val="30550C17"/>
    <w:rsid w:val="3062519A"/>
    <w:rsid w:val="306E1D90"/>
    <w:rsid w:val="307B2C9C"/>
    <w:rsid w:val="308710A4"/>
    <w:rsid w:val="309F266F"/>
    <w:rsid w:val="30CC1ABC"/>
    <w:rsid w:val="30D065A7"/>
    <w:rsid w:val="30DB6CFA"/>
    <w:rsid w:val="30F61AF4"/>
    <w:rsid w:val="310E33C3"/>
    <w:rsid w:val="311C739E"/>
    <w:rsid w:val="311E0B79"/>
    <w:rsid w:val="311E332D"/>
    <w:rsid w:val="31524F8B"/>
    <w:rsid w:val="31675E20"/>
    <w:rsid w:val="316E6BC8"/>
    <w:rsid w:val="318E778D"/>
    <w:rsid w:val="3196159F"/>
    <w:rsid w:val="31C93A4E"/>
    <w:rsid w:val="31E44300"/>
    <w:rsid w:val="32252923"/>
    <w:rsid w:val="32C0264B"/>
    <w:rsid w:val="32D63C1D"/>
    <w:rsid w:val="32EE0F67"/>
    <w:rsid w:val="32F83B93"/>
    <w:rsid w:val="330E33B7"/>
    <w:rsid w:val="337C6572"/>
    <w:rsid w:val="33B56B3D"/>
    <w:rsid w:val="33BE302F"/>
    <w:rsid w:val="33E24AA3"/>
    <w:rsid w:val="33E4796F"/>
    <w:rsid w:val="34034EE6"/>
    <w:rsid w:val="343612DB"/>
    <w:rsid w:val="34697512"/>
    <w:rsid w:val="34723C7D"/>
    <w:rsid w:val="348A43E7"/>
    <w:rsid w:val="34D04DC8"/>
    <w:rsid w:val="34EE34A0"/>
    <w:rsid w:val="34F07218"/>
    <w:rsid w:val="35252BA6"/>
    <w:rsid w:val="35327830"/>
    <w:rsid w:val="355F1F49"/>
    <w:rsid w:val="355F59D1"/>
    <w:rsid w:val="357E50F5"/>
    <w:rsid w:val="358116C2"/>
    <w:rsid w:val="359C2EFC"/>
    <w:rsid w:val="35EB0457"/>
    <w:rsid w:val="35FD76EC"/>
    <w:rsid w:val="3609541D"/>
    <w:rsid w:val="363322BA"/>
    <w:rsid w:val="36C50230"/>
    <w:rsid w:val="36D641EB"/>
    <w:rsid w:val="36FB07F5"/>
    <w:rsid w:val="3705653B"/>
    <w:rsid w:val="37354660"/>
    <w:rsid w:val="373D4CE9"/>
    <w:rsid w:val="375B1B5A"/>
    <w:rsid w:val="37D20D59"/>
    <w:rsid w:val="37DB647A"/>
    <w:rsid w:val="380241A5"/>
    <w:rsid w:val="381C20D2"/>
    <w:rsid w:val="388C0A03"/>
    <w:rsid w:val="38B96264"/>
    <w:rsid w:val="38BB4B12"/>
    <w:rsid w:val="391B05DB"/>
    <w:rsid w:val="394F0285"/>
    <w:rsid w:val="39533054"/>
    <w:rsid w:val="395E7C2E"/>
    <w:rsid w:val="396354B5"/>
    <w:rsid w:val="39691347"/>
    <w:rsid w:val="39CE3406"/>
    <w:rsid w:val="39D864CC"/>
    <w:rsid w:val="3A4A3810"/>
    <w:rsid w:val="3A55119E"/>
    <w:rsid w:val="3A836438"/>
    <w:rsid w:val="3A97563A"/>
    <w:rsid w:val="3AF546B4"/>
    <w:rsid w:val="3B0A6B5A"/>
    <w:rsid w:val="3B0D3C98"/>
    <w:rsid w:val="3B1D063B"/>
    <w:rsid w:val="3B5B6921"/>
    <w:rsid w:val="3B765F9D"/>
    <w:rsid w:val="3B7A01B1"/>
    <w:rsid w:val="3B7A05B3"/>
    <w:rsid w:val="3B851344"/>
    <w:rsid w:val="3C1A489F"/>
    <w:rsid w:val="3C215F09"/>
    <w:rsid w:val="3C2320A3"/>
    <w:rsid w:val="3C585642"/>
    <w:rsid w:val="3C5C32AD"/>
    <w:rsid w:val="3C6134CC"/>
    <w:rsid w:val="3D0E14E1"/>
    <w:rsid w:val="3D7E5741"/>
    <w:rsid w:val="3DA60DBB"/>
    <w:rsid w:val="3DBC05DF"/>
    <w:rsid w:val="3DD71F21"/>
    <w:rsid w:val="3DD825FB"/>
    <w:rsid w:val="3E144BD2"/>
    <w:rsid w:val="3E6327CC"/>
    <w:rsid w:val="3E7073EE"/>
    <w:rsid w:val="3E88226F"/>
    <w:rsid w:val="3EAE40E4"/>
    <w:rsid w:val="3ECB6600"/>
    <w:rsid w:val="3EDE7758"/>
    <w:rsid w:val="3F076C25"/>
    <w:rsid w:val="3F245E78"/>
    <w:rsid w:val="3F3324CA"/>
    <w:rsid w:val="3FAF6425"/>
    <w:rsid w:val="3FE67B95"/>
    <w:rsid w:val="3FF04570"/>
    <w:rsid w:val="40582A3C"/>
    <w:rsid w:val="406F5E57"/>
    <w:rsid w:val="40CE4185"/>
    <w:rsid w:val="40DC3532"/>
    <w:rsid w:val="41290FD7"/>
    <w:rsid w:val="415E1F9E"/>
    <w:rsid w:val="41AD259B"/>
    <w:rsid w:val="41C77552"/>
    <w:rsid w:val="41D06DB8"/>
    <w:rsid w:val="42316D5B"/>
    <w:rsid w:val="426C7E01"/>
    <w:rsid w:val="427C658F"/>
    <w:rsid w:val="428B4A24"/>
    <w:rsid w:val="42B83F5B"/>
    <w:rsid w:val="43291B47"/>
    <w:rsid w:val="43536C68"/>
    <w:rsid w:val="43BD7FBF"/>
    <w:rsid w:val="43DC59F8"/>
    <w:rsid w:val="44020D16"/>
    <w:rsid w:val="4418136D"/>
    <w:rsid w:val="445E548A"/>
    <w:rsid w:val="449E0D61"/>
    <w:rsid w:val="44A92F3F"/>
    <w:rsid w:val="44D32EB5"/>
    <w:rsid w:val="44E24BED"/>
    <w:rsid w:val="450B318B"/>
    <w:rsid w:val="45102FBE"/>
    <w:rsid w:val="45140A56"/>
    <w:rsid w:val="456A3561"/>
    <w:rsid w:val="459534C4"/>
    <w:rsid w:val="45990A41"/>
    <w:rsid w:val="45CE5353"/>
    <w:rsid w:val="45DB1148"/>
    <w:rsid w:val="46AE38AF"/>
    <w:rsid w:val="46B04A59"/>
    <w:rsid w:val="46DC3AA0"/>
    <w:rsid w:val="46E12E64"/>
    <w:rsid w:val="46F012F9"/>
    <w:rsid w:val="471D3802"/>
    <w:rsid w:val="4721277A"/>
    <w:rsid w:val="476C4651"/>
    <w:rsid w:val="478B2DD0"/>
    <w:rsid w:val="478D152F"/>
    <w:rsid w:val="47AB6FCE"/>
    <w:rsid w:val="47E36768"/>
    <w:rsid w:val="47E62CAF"/>
    <w:rsid w:val="47E902FC"/>
    <w:rsid w:val="47F00428"/>
    <w:rsid w:val="48566D15"/>
    <w:rsid w:val="491A265E"/>
    <w:rsid w:val="4950607F"/>
    <w:rsid w:val="49B52386"/>
    <w:rsid w:val="49D94642"/>
    <w:rsid w:val="49E862B8"/>
    <w:rsid w:val="4A00334B"/>
    <w:rsid w:val="4A1E5CDD"/>
    <w:rsid w:val="4A34721A"/>
    <w:rsid w:val="4A7F537F"/>
    <w:rsid w:val="4AA363BD"/>
    <w:rsid w:val="4AEC002A"/>
    <w:rsid w:val="4AF35C9A"/>
    <w:rsid w:val="4B4E2A92"/>
    <w:rsid w:val="4B74558A"/>
    <w:rsid w:val="4B8C589D"/>
    <w:rsid w:val="4BA73AFE"/>
    <w:rsid w:val="4BB03272"/>
    <w:rsid w:val="4BCE5929"/>
    <w:rsid w:val="4BE53FF2"/>
    <w:rsid w:val="4BF230D0"/>
    <w:rsid w:val="4C0662F2"/>
    <w:rsid w:val="4C736794"/>
    <w:rsid w:val="4C9B3AB5"/>
    <w:rsid w:val="4CC36F57"/>
    <w:rsid w:val="4CDF2427"/>
    <w:rsid w:val="4D2201BA"/>
    <w:rsid w:val="4D2D548B"/>
    <w:rsid w:val="4D6C0776"/>
    <w:rsid w:val="4D761E2D"/>
    <w:rsid w:val="4DA104DB"/>
    <w:rsid w:val="4DA1334D"/>
    <w:rsid w:val="4DAD2AFE"/>
    <w:rsid w:val="4DC62DB4"/>
    <w:rsid w:val="4E9257F6"/>
    <w:rsid w:val="4ED81FFB"/>
    <w:rsid w:val="4EE2777A"/>
    <w:rsid w:val="4F09555C"/>
    <w:rsid w:val="4F161B19"/>
    <w:rsid w:val="4F2A749F"/>
    <w:rsid w:val="4F495A4B"/>
    <w:rsid w:val="4F722C00"/>
    <w:rsid w:val="4F823312"/>
    <w:rsid w:val="4F872750"/>
    <w:rsid w:val="4FE94B38"/>
    <w:rsid w:val="501B74DA"/>
    <w:rsid w:val="50487AB0"/>
    <w:rsid w:val="505E2FB2"/>
    <w:rsid w:val="50964276"/>
    <w:rsid w:val="50A849F3"/>
    <w:rsid w:val="50D15CF8"/>
    <w:rsid w:val="50F14E29"/>
    <w:rsid w:val="512E19DB"/>
    <w:rsid w:val="514B3B20"/>
    <w:rsid w:val="514E5974"/>
    <w:rsid w:val="517356C4"/>
    <w:rsid w:val="517B13DE"/>
    <w:rsid w:val="51B353FD"/>
    <w:rsid w:val="51B64EEE"/>
    <w:rsid w:val="51BF1FF4"/>
    <w:rsid w:val="51CC035C"/>
    <w:rsid w:val="51CF1F5E"/>
    <w:rsid w:val="52097713"/>
    <w:rsid w:val="5254799A"/>
    <w:rsid w:val="526D448B"/>
    <w:rsid w:val="528C45CC"/>
    <w:rsid w:val="52A05A32"/>
    <w:rsid w:val="52A171D8"/>
    <w:rsid w:val="5311687F"/>
    <w:rsid w:val="53187245"/>
    <w:rsid w:val="538B4884"/>
    <w:rsid w:val="53D63229"/>
    <w:rsid w:val="53DC50DF"/>
    <w:rsid w:val="53E45D42"/>
    <w:rsid w:val="54007D2C"/>
    <w:rsid w:val="54250769"/>
    <w:rsid w:val="54AC39EA"/>
    <w:rsid w:val="54BA4BEB"/>
    <w:rsid w:val="54CB005A"/>
    <w:rsid w:val="55065542"/>
    <w:rsid w:val="5512068D"/>
    <w:rsid w:val="551B39E5"/>
    <w:rsid w:val="555358D4"/>
    <w:rsid w:val="555A5439"/>
    <w:rsid w:val="55A0576D"/>
    <w:rsid w:val="55C0458D"/>
    <w:rsid w:val="562E7140"/>
    <w:rsid w:val="563F5863"/>
    <w:rsid w:val="566118CC"/>
    <w:rsid w:val="5665259D"/>
    <w:rsid w:val="5688592B"/>
    <w:rsid w:val="56BD287A"/>
    <w:rsid w:val="56D46022"/>
    <w:rsid w:val="56E10C5F"/>
    <w:rsid w:val="56F40992"/>
    <w:rsid w:val="5781180D"/>
    <w:rsid w:val="578D6C46"/>
    <w:rsid w:val="57A21C51"/>
    <w:rsid w:val="57B9558F"/>
    <w:rsid w:val="57C40364"/>
    <w:rsid w:val="57CA0B05"/>
    <w:rsid w:val="57CA63B1"/>
    <w:rsid w:val="57F93497"/>
    <w:rsid w:val="57FB6504"/>
    <w:rsid w:val="58404F46"/>
    <w:rsid w:val="58523BC2"/>
    <w:rsid w:val="586C27AA"/>
    <w:rsid w:val="58955092"/>
    <w:rsid w:val="58BF6D7E"/>
    <w:rsid w:val="58DF4D2A"/>
    <w:rsid w:val="58F965D5"/>
    <w:rsid w:val="59412D9B"/>
    <w:rsid w:val="595E6596"/>
    <w:rsid w:val="598B178D"/>
    <w:rsid w:val="59A8766B"/>
    <w:rsid w:val="5A250F43"/>
    <w:rsid w:val="5A5F2DAA"/>
    <w:rsid w:val="5A690D4F"/>
    <w:rsid w:val="5A6E2809"/>
    <w:rsid w:val="5B0171D9"/>
    <w:rsid w:val="5B8A330F"/>
    <w:rsid w:val="5B8C3679"/>
    <w:rsid w:val="5B914A01"/>
    <w:rsid w:val="5BA641A6"/>
    <w:rsid w:val="5BA858A7"/>
    <w:rsid w:val="5BAC7D6B"/>
    <w:rsid w:val="5BCD355F"/>
    <w:rsid w:val="5BE10A34"/>
    <w:rsid w:val="5C0772D9"/>
    <w:rsid w:val="5C4307BC"/>
    <w:rsid w:val="5C69772C"/>
    <w:rsid w:val="5CEE09AC"/>
    <w:rsid w:val="5D1815DC"/>
    <w:rsid w:val="5D537A94"/>
    <w:rsid w:val="5D9115E0"/>
    <w:rsid w:val="5DB7373B"/>
    <w:rsid w:val="5DCA2E85"/>
    <w:rsid w:val="5E1C432A"/>
    <w:rsid w:val="5E2B3C8E"/>
    <w:rsid w:val="5E3122B8"/>
    <w:rsid w:val="5E333733"/>
    <w:rsid w:val="5E4451F4"/>
    <w:rsid w:val="5ECC08B9"/>
    <w:rsid w:val="5ED40BBA"/>
    <w:rsid w:val="5ED51209"/>
    <w:rsid w:val="5EDB0BFB"/>
    <w:rsid w:val="5EE77787"/>
    <w:rsid w:val="5F290D25"/>
    <w:rsid w:val="5F6B7317"/>
    <w:rsid w:val="5F8507E6"/>
    <w:rsid w:val="5F8C41E4"/>
    <w:rsid w:val="5FBD2937"/>
    <w:rsid w:val="60496EF6"/>
    <w:rsid w:val="60C82547"/>
    <w:rsid w:val="60F5158E"/>
    <w:rsid w:val="611C59D6"/>
    <w:rsid w:val="61470BE8"/>
    <w:rsid w:val="615C33BC"/>
    <w:rsid w:val="616404C2"/>
    <w:rsid w:val="61A3518C"/>
    <w:rsid w:val="61F21F72"/>
    <w:rsid w:val="62064ADA"/>
    <w:rsid w:val="625B18C5"/>
    <w:rsid w:val="626562A0"/>
    <w:rsid w:val="627666FF"/>
    <w:rsid w:val="62856942"/>
    <w:rsid w:val="62A50E31"/>
    <w:rsid w:val="62A5788C"/>
    <w:rsid w:val="62D822F7"/>
    <w:rsid w:val="62EA1C1C"/>
    <w:rsid w:val="634A36E8"/>
    <w:rsid w:val="634B7375"/>
    <w:rsid w:val="63B26978"/>
    <w:rsid w:val="63D04CA8"/>
    <w:rsid w:val="640F6E0B"/>
    <w:rsid w:val="64157C28"/>
    <w:rsid w:val="6425670F"/>
    <w:rsid w:val="64364FED"/>
    <w:rsid w:val="643C74D4"/>
    <w:rsid w:val="64554864"/>
    <w:rsid w:val="6470717E"/>
    <w:rsid w:val="64882460"/>
    <w:rsid w:val="64C5218C"/>
    <w:rsid w:val="64F61D79"/>
    <w:rsid w:val="64F62683"/>
    <w:rsid w:val="650224CC"/>
    <w:rsid w:val="6532671E"/>
    <w:rsid w:val="6554126D"/>
    <w:rsid w:val="65803E30"/>
    <w:rsid w:val="65F067C8"/>
    <w:rsid w:val="65F95DD7"/>
    <w:rsid w:val="660E4EA0"/>
    <w:rsid w:val="662621EA"/>
    <w:rsid w:val="66621DBC"/>
    <w:rsid w:val="668239BE"/>
    <w:rsid w:val="66BD27F4"/>
    <w:rsid w:val="670D334D"/>
    <w:rsid w:val="67204D6A"/>
    <w:rsid w:val="672A5D0A"/>
    <w:rsid w:val="6734646C"/>
    <w:rsid w:val="67CA76D1"/>
    <w:rsid w:val="67D11A02"/>
    <w:rsid w:val="68112A26"/>
    <w:rsid w:val="68607810"/>
    <w:rsid w:val="68810274"/>
    <w:rsid w:val="689C0681"/>
    <w:rsid w:val="689C7725"/>
    <w:rsid w:val="68CC58E5"/>
    <w:rsid w:val="69445247"/>
    <w:rsid w:val="696967AA"/>
    <w:rsid w:val="69855479"/>
    <w:rsid w:val="69926A05"/>
    <w:rsid w:val="69CB5582"/>
    <w:rsid w:val="69DF14F9"/>
    <w:rsid w:val="69F543F0"/>
    <w:rsid w:val="6A0E546F"/>
    <w:rsid w:val="6A287F42"/>
    <w:rsid w:val="6A6908F7"/>
    <w:rsid w:val="6A9644CB"/>
    <w:rsid w:val="6AA83360"/>
    <w:rsid w:val="6AA933EA"/>
    <w:rsid w:val="6AAD7B2A"/>
    <w:rsid w:val="6B1804AF"/>
    <w:rsid w:val="6B902CAD"/>
    <w:rsid w:val="6BA71B66"/>
    <w:rsid w:val="6BA8113C"/>
    <w:rsid w:val="6BB757E3"/>
    <w:rsid w:val="6BF454A7"/>
    <w:rsid w:val="6BFA3EFD"/>
    <w:rsid w:val="6C0410C4"/>
    <w:rsid w:val="6C6F076F"/>
    <w:rsid w:val="6C7E05D2"/>
    <w:rsid w:val="6C830396"/>
    <w:rsid w:val="6C8A36B9"/>
    <w:rsid w:val="6C982186"/>
    <w:rsid w:val="6CF070AE"/>
    <w:rsid w:val="6D072A50"/>
    <w:rsid w:val="6D2306E0"/>
    <w:rsid w:val="6D327332"/>
    <w:rsid w:val="6D4573FA"/>
    <w:rsid w:val="6D8A12B0"/>
    <w:rsid w:val="6D8A5754"/>
    <w:rsid w:val="6D94212F"/>
    <w:rsid w:val="6DAC7479"/>
    <w:rsid w:val="6DC62104"/>
    <w:rsid w:val="6DCD2B7E"/>
    <w:rsid w:val="6DD95168"/>
    <w:rsid w:val="6DE32BD8"/>
    <w:rsid w:val="6E05302D"/>
    <w:rsid w:val="6E1C29F8"/>
    <w:rsid w:val="6E2A65EF"/>
    <w:rsid w:val="6E66587A"/>
    <w:rsid w:val="6E7206C2"/>
    <w:rsid w:val="6EC60E34"/>
    <w:rsid w:val="6EFF6DF3"/>
    <w:rsid w:val="6F0F4C94"/>
    <w:rsid w:val="6F17388B"/>
    <w:rsid w:val="6F440AC5"/>
    <w:rsid w:val="6F56326B"/>
    <w:rsid w:val="6F92269E"/>
    <w:rsid w:val="6FA35713"/>
    <w:rsid w:val="6FCA2E29"/>
    <w:rsid w:val="6FFE4348"/>
    <w:rsid w:val="6FFF385A"/>
    <w:rsid w:val="70150575"/>
    <w:rsid w:val="701C0B32"/>
    <w:rsid w:val="703B5442"/>
    <w:rsid w:val="707668D5"/>
    <w:rsid w:val="70817FDC"/>
    <w:rsid w:val="70B50430"/>
    <w:rsid w:val="70DC0075"/>
    <w:rsid w:val="71094BE2"/>
    <w:rsid w:val="7124318C"/>
    <w:rsid w:val="71433794"/>
    <w:rsid w:val="718B3849"/>
    <w:rsid w:val="71C20045"/>
    <w:rsid w:val="71F77202"/>
    <w:rsid w:val="72084E9A"/>
    <w:rsid w:val="722745E5"/>
    <w:rsid w:val="722E7B72"/>
    <w:rsid w:val="72312642"/>
    <w:rsid w:val="72514A93"/>
    <w:rsid w:val="727918F3"/>
    <w:rsid w:val="727B440F"/>
    <w:rsid w:val="72985B0B"/>
    <w:rsid w:val="7298621E"/>
    <w:rsid w:val="72BF1962"/>
    <w:rsid w:val="72E526DB"/>
    <w:rsid w:val="734D7A23"/>
    <w:rsid w:val="73A75C0C"/>
    <w:rsid w:val="73AC64BF"/>
    <w:rsid w:val="73B67DF9"/>
    <w:rsid w:val="73CB43D1"/>
    <w:rsid w:val="73D71BE1"/>
    <w:rsid w:val="74147B26"/>
    <w:rsid w:val="742C30C1"/>
    <w:rsid w:val="7472484C"/>
    <w:rsid w:val="747C716B"/>
    <w:rsid w:val="748522B6"/>
    <w:rsid w:val="74B80429"/>
    <w:rsid w:val="74C74B98"/>
    <w:rsid w:val="75591809"/>
    <w:rsid w:val="755D6773"/>
    <w:rsid w:val="757E1F4F"/>
    <w:rsid w:val="75864A53"/>
    <w:rsid w:val="75A86778"/>
    <w:rsid w:val="75BE0637"/>
    <w:rsid w:val="7605519B"/>
    <w:rsid w:val="765F0D4D"/>
    <w:rsid w:val="766F54E7"/>
    <w:rsid w:val="767B0330"/>
    <w:rsid w:val="76F52081"/>
    <w:rsid w:val="7711659E"/>
    <w:rsid w:val="773D55E5"/>
    <w:rsid w:val="776D5ECB"/>
    <w:rsid w:val="777032C5"/>
    <w:rsid w:val="779403C7"/>
    <w:rsid w:val="77A1156C"/>
    <w:rsid w:val="77A650A8"/>
    <w:rsid w:val="77B2490E"/>
    <w:rsid w:val="78212811"/>
    <w:rsid w:val="783B0CDE"/>
    <w:rsid w:val="78484242"/>
    <w:rsid w:val="78675530"/>
    <w:rsid w:val="78761EBA"/>
    <w:rsid w:val="78B408C9"/>
    <w:rsid w:val="78B605AB"/>
    <w:rsid w:val="790463BB"/>
    <w:rsid w:val="790B6163"/>
    <w:rsid w:val="792B0A89"/>
    <w:rsid w:val="792C6CB9"/>
    <w:rsid w:val="798101C3"/>
    <w:rsid w:val="79A6533C"/>
    <w:rsid w:val="79D7587D"/>
    <w:rsid w:val="79E254FC"/>
    <w:rsid w:val="79E263BE"/>
    <w:rsid w:val="7A3B22B0"/>
    <w:rsid w:val="7A454EDD"/>
    <w:rsid w:val="7A460C55"/>
    <w:rsid w:val="7A5073DE"/>
    <w:rsid w:val="7A575CA4"/>
    <w:rsid w:val="7ABE2599"/>
    <w:rsid w:val="7ABE4C8F"/>
    <w:rsid w:val="7ACE4CC9"/>
    <w:rsid w:val="7AD551A5"/>
    <w:rsid w:val="7AE94A9F"/>
    <w:rsid w:val="7B1A4211"/>
    <w:rsid w:val="7B203254"/>
    <w:rsid w:val="7B581016"/>
    <w:rsid w:val="7B705F89"/>
    <w:rsid w:val="7B810197"/>
    <w:rsid w:val="7BC17F05"/>
    <w:rsid w:val="7BE3238C"/>
    <w:rsid w:val="7BFF3704"/>
    <w:rsid w:val="7C056490"/>
    <w:rsid w:val="7C144C86"/>
    <w:rsid w:val="7C1B55EF"/>
    <w:rsid w:val="7C745605"/>
    <w:rsid w:val="7C8F68E3"/>
    <w:rsid w:val="7C9454D1"/>
    <w:rsid w:val="7CBE2A20"/>
    <w:rsid w:val="7CF76360"/>
    <w:rsid w:val="7D53007E"/>
    <w:rsid w:val="7D537911"/>
    <w:rsid w:val="7D711B45"/>
    <w:rsid w:val="7D864D89"/>
    <w:rsid w:val="7DAC7021"/>
    <w:rsid w:val="7DBE7932"/>
    <w:rsid w:val="7DC720AD"/>
    <w:rsid w:val="7DF23E2B"/>
    <w:rsid w:val="7DF526B1"/>
    <w:rsid w:val="7E4A21C6"/>
    <w:rsid w:val="7E674E39"/>
    <w:rsid w:val="7E9A50CB"/>
    <w:rsid w:val="7EAD31A8"/>
    <w:rsid w:val="7EAE0638"/>
    <w:rsid w:val="7EF31644"/>
    <w:rsid w:val="7F2A46A1"/>
    <w:rsid w:val="7F5506AD"/>
    <w:rsid w:val="7F623E3B"/>
    <w:rsid w:val="7FDF548C"/>
    <w:rsid w:val="7FE1624E"/>
    <w:rsid w:val="7FF70450"/>
    <w:rsid w:val="7FFF2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4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link w:val="50"/>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32">
    <w:name w:val="Default Paragraph Font"/>
    <w:link w:val="33"/>
    <w:semiHidden/>
    <w:qFormat/>
    <w:uiPriority w:val="0"/>
    <w:rPr>
      <w:rFonts w:ascii="宋体" w:hAnsi="宋体" w:cs="宋体"/>
      <w:szCs w:val="24"/>
    </w:rPr>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E-mail Signature"/>
    <w:basedOn w:val="1"/>
    <w:next w:val="8"/>
    <w:qFormat/>
    <w:uiPriority w:val="99"/>
    <w:pPr>
      <w:spacing w:line="460" w:lineRule="exact"/>
      <w:ind w:firstLine="200"/>
    </w:pPr>
    <w:rPr>
      <w:rFonts w:ascii="Times New Roman" w:hAnsi="Times New Roman" w:cs="Times New Roman"/>
    </w:rPr>
  </w:style>
  <w:style w:type="paragraph" w:customStyle="1" w:styleId="8">
    <w:name w:val="文章"/>
    <w:next w:val="9"/>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9">
    <w:name w:val="List"/>
    <w:basedOn w:val="1"/>
    <w:next w:val="10"/>
    <w:qFormat/>
    <w:uiPriority w:val="0"/>
    <w:pPr>
      <w:ind w:left="420" w:hanging="420"/>
    </w:pPr>
    <w:rPr>
      <w:sz w:val="28"/>
      <w:szCs w:val="20"/>
    </w:rPr>
  </w:style>
  <w:style w:type="paragraph" w:styleId="10">
    <w:name w:val="List Bullet 2"/>
    <w:basedOn w:val="1"/>
    <w:next w:val="11"/>
    <w:qFormat/>
    <w:uiPriority w:val="0"/>
    <w:pPr>
      <w:numPr>
        <w:ilvl w:val="0"/>
        <w:numId w:val="1"/>
      </w:numPr>
    </w:pPr>
  </w:style>
  <w:style w:type="paragraph" w:customStyle="1" w:styleId="11">
    <w:name w:val="xl70"/>
    <w:basedOn w:val="1"/>
    <w:next w:val="12"/>
    <w:qFormat/>
    <w:uiPriority w:val="0"/>
    <w:pPr>
      <w:widowControl/>
      <w:spacing w:before="280" w:after="280" w:line="240" w:lineRule="auto"/>
      <w:ind w:firstLine="0"/>
    </w:pPr>
    <w:rPr>
      <w:rFonts w:ascii="宋体"/>
    </w:rPr>
  </w:style>
  <w:style w:type="paragraph" w:customStyle="1" w:styleId="12">
    <w:name w:val="正文缩进1"/>
    <w:basedOn w:val="1"/>
    <w:next w:val="13"/>
    <w:qFormat/>
    <w:uiPriority w:val="0"/>
    <w:pPr>
      <w:ind w:firstLine="420"/>
    </w:pPr>
    <w:rPr>
      <w:rFonts w:ascii="宋体"/>
      <w:sz w:val="28"/>
    </w:rPr>
  </w:style>
  <w:style w:type="paragraph" w:customStyle="1" w:styleId="13">
    <w:name w:val="td1"/>
    <w:basedOn w:val="1"/>
    <w:next w:val="1"/>
    <w:qFormat/>
    <w:uiPriority w:val="0"/>
    <w:pPr>
      <w:widowControl/>
      <w:spacing w:before="280" w:after="280" w:line="300" w:lineRule="atLeast"/>
      <w:ind w:firstLine="200"/>
    </w:pPr>
    <w:rPr>
      <w:color w:val="000000"/>
      <w:sz w:val="18"/>
    </w:rPr>
  </w:style>
  <w:style w:type="paragraph" w:styleId="14">
    <w:name w:val="Normal Indent"/>
    <w:basedOn w:val="1"/>
    <w:next w:val="1"/>
    <w:qFormat/>
    <w:uiPriority w:val="0"/>
    <w:rPr>
      <w:kern w:val="2"/>
      <w:sz w:val="28"/>
    </w:rPr>
  </w:style>
  <w:style w:type="paragraph" w:styleId="15">
    <w:name w:val="caption"/>
    <w:basedOn w:val="1"/>
    <w:next w:val="1"/>
    <w:unhideWhenUsed/>
    <w:qFormat/>
    <w:uiPriority w:val="0"/>
    <w:rPr>
      <w:rFonts w:ascii="Arial" w:hAnsi="Arial" w:eastAsia="黑体"/>
      <w:sz w:val="20"/>
    </w:rPr>
  </w:style>
  <w:style w:type="paragraph" w:styleId="16">
    <w:name w:val="annotation text"/>
    <w:basedOn w:val="1"/>
    <w:qFormat/>
    <w:uiPriority w:val="0"/>
    <w:pPr>
      <w:jc w:val="left"/>
    </w:pPr>
  </w:style>
  <w:style w:type="paragraph" w:styleId="17">
    <w:name w:val="Body Text"/>
    <w:basedOn w:val="1"/>
    <w:qFormat/>
    <w:uiPriority w:val="0"/>
    <w:pPr>
      <w:spacing w:line="480" w:lineRule="auto"/>
    </w:pPr>
    <w:rPr>
      <w:b/>
      <w:bCs/>
      <w:sz w:val="24"/>
    </w:rPr>
  </w:style>
  <w:style w:type="paragraph" w:styleId="18">
    <w:name w:val="Body Text Indent"/>
    <w:basedOn w:val="1"/>
    <w:next w:val="19"/>
    <w:qFormat/>
    <w:uiPriority w:val="0"/>
    <w:pPr>
      <w:spacing w:line="360" w:lineRule="auto"/>
      <w:ind w:firstLine="480" w:firstLineChars="200"/>
    </w:pPr>
    <w:rPr>
      <w:sz w:val="24"/>
    </w:rPr>
  </w:style>
  <w:style w:type="paragraph" w:customStyle="1" w:styleId="19">
    <w:name w:val="样式 正文文本缩进 + 行距: 1.5 倍行距"/>
    <w:basedOn w:val="20"/>
    <w:qFormat/>
    <w:uiPriority w:val="0"/>
    <w:pPr>
      <w:spacing w:after="120" w:line="360" w:lineRule="auto"/>
      <w:ind w:left="90" w:leftChars="32" w:firstLine="560" w:firstLineChars="200"/>
    </w:pPr>
    <w:rPr>
      <w:rFonts w:cs="宋体"/>
      <w:sz w:val="24"/>
    </w:rPr>
  </w:style>
  <w:style w:type="paragraph" w:customStyle="1" w:styleId="20">
    <w:name w:val="Body Text Indent"/>
    <w:basedOn w:val="21"/>
    <w:next w:val="19"/>
    <w:qFormat/>
    <w:uiPriority w:val="0"/>
    <w:pPr>
      <w:spacing w:after="120" w:afterLines="0"/>
      <w:ind w:left="420" w:leftChars="200"/>
    </w:pPr>
    <w:rPr>
      <w:rFonts w:ascii="Times New Roman" w:hAnsi="Times New Roman" w:eastAsia="宋体"/>
      <w:sz w:val="24"/>
    </w:rPr>
  </w:style>
  <w:style w:type="paragraph" w:customStyle="1" w:styleId="21">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22">
    <w:name w:val="Block Text"/>
    <w:basedOn w:val="1"/>
    <w:next w:val="1"/>
    <w:unhideWhenUsed/>
    <w:qFormat/>
    <w:uiPriority w:val="0"/>
    <w:pPr>
      <w:autoSpaceDE w:val="0"/>
      <w:autoSpaceDN w:val="0"/>
      <w:adjustRightInd w:val="0"/>
      <w:spacing w:before="1" w:line="537" w:lineRule="exact"/>
      <w:ind w:left="88" w:right="6"/>
    </w:pPr>
    <w:rPr>
      <w:kern w:val="0"/>
      <w:szCs w:val="20"/>
    </w:rPr>
  </w:style>
  <w:style w:type="paragraph" w:styleId="23">
    <w:name w:val="Plain Text"/>
    <w:basedOn w:val="1"/>
    <w:qFormat/>
    <w:uiPriority w:val="0"/>
    <w:rPr>
      <w:rFonts w:ascii="宋体" w:hAnsi="Courier New"/>
      <w:sz w:val="21"/>
    </w:rPr>
  </w:style>
  <w:style w:type="paragraph" w:styleId="24">
    <w:name w:val="footer"/>
    <w:basedOn w:val="1"/>
    <w:qFormat/>
    <w:uiPriority w:val="0"/>
    <w:pPr>
      <w:tabs>
        <w:tab w:val="center" w:pos="4153"/>
        <w:tab w:val="right" w:pos="8306"/>
      </w:tabs>
    </w:pPr>
    <w:rPr>
      <w:rFonts w:ascii="Tahoma" w:hAnsi="Tahoma"/>
      <w:sz w:val="18"/>
      <w:szCs w:val="18"/>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6">
    <w:name w:val="toc 1"/>
    <w:basedOn w:val="1"/>
    <w:next w:val="1"/>
    <w:qFormat/>
    <w:uiPriority w:val="0"/>
  </w:style>
  <w:style w:type="paragraph" w:styleId="27">
    <w:name w:val="toc 2"/>
    <w:basedOn w:val="1"/>
    <w:next w:val="7"/>
    <w:qFormat/>
    <w:uiPriority w:val="39"/>
    <w:pPr>
      <w:ind w:left="210"/>
      <w:jc w:val="left"/>
    </w:pPr>
    <w:rPr>
      <w:smallCaps/>
      <w:sz w:val="24"/>
      <w:szCs w:val="20"/>
    </w:rPr>
  </w:style>
  <w:style w:type="paragraph" w:styleId="28">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29">
    <w:name w:val="Body Text First Indent 2"/>
    <w:basedOn w:val="18"/>
    <w:next w:val="1"/>
    <w:qFormat/>
    <w:uiPriority w:val="0"/>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 Char Char1 Char"/>
    <w:basedOn w:val="1"/>
    <w:link w:val="32"/>
    <w:qFormat/>
    <w:uiPriority w:val="0"/>
    <w:pPr>
      <w:spacing w:line="360" w:lineRule="auto"/>
      <w:ind w:firstLine="200" w:firstLineChars="200"/>
    </w:pPr>
    <w:rPr>
      <w:rFonts w:ascii="宋体" w:hAnsi="宋体" w:cs="宋体"/>
      <w:szCs w:val="24"/>
    </w:rPr>
  </w:style>
  <w:style w:type="character" w:styleId="34">
    <w:name w:val="Strong"/>
    <w:basedOn w:val="32"/>
    <w:qFormat/>
    <w:uiPriority w:val="22"/>
    <w:rPr>
      <w:b/>
      <w:bCs/>
    </w:rPr>
  </w:style>
  <w:style w:type="character" w:styleId="35">
    <w:name w:val="page number"/>
    <w:basedOn w:val="32"/>
    <w:qFormat/>
    <w:uiPriority w:val="0"/>
  </w:style>
  <w:style w:type="character" w:styleId="36">
    <w:name w:val="Hyperlink"/>
    <w:basedOn w:val="32"/>
    <w:qFormat/>
    <w:uiPriority w:val="0"/>
    <w:rPr>
      <w:color w:val="0000FF"/>
      <w:u w:val="single"/>
    </w:rPr>
  </w:style>
  <w:style w:type="paragraph" w:customStyle="1" w:styleId="3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8">
    <w:name w:val="page number"/>
    <w:basedOn w:val="32"/>
    <w:qFormat/>
    <w:uiPriority w:val="0"/>
  </w:style>
  <w:style w:type="paragraph" w:customStyle="1" w:styleId="39">
    <w:name w:val="封面 下内容"/>
    <w:basedOn w:val="1"/>
    <w:qFormat/>
    <w:uiPriority w:val="0"/>
    <w:pPr>
      <w:spacing w:line="240" w:lineRule="auto"/>
      <w:ind w:firstLine="0" w:firstLineChars="0"/>
      <w:jc w:val="right"/>
    </w:pPr>
    <w:rPr>
      <w:sz w:val="28"/>
    </w:rPr>
  </w:style>
  <w:style w:type="paragraph" w:customStyle="1" w:styleId="40">
    <w:name w:val="Table Paragraph"/>
    <w:basedOn w:val="1"/>
    <w:qFormat/>
    <w:uiPriority w:val="1"/>
    <w:pPr>
      <w:jc w:val="center"/>
    </w:pPr>
    <w:rPr>
      <w:rFonts w:ascii="宋体" w:hAnsi="宋体" w:eastAsia="宋体" w:cs="宋体"/>
      <w:lang w:val="zh-CN" w:eastAsia="zh-CN" w:bidi="zh-CN"/>
    </w:rPr>
  </w:style>
  <w:style w:type="paragraph" w:customStyle="1" w:styleId="41">
    <w:name w:val="中文报告书样式"/>
    <w:basedOn w:val="1"/>
    <w:qFormat/>
    <w:uiPriority w:val="0"/>
    <w:pPr>
      <w:adjustRightInd w:val="0"/>
      <w:spacing w:line="480" w:lineRule="atLeast"/>
      <w:ind w:firstLine="482"/>
      <w:textAlignment w:val="baseline"/>
    </w:pPr>
    <w:rPr>
      <w:kern w:val="24"/>
      <w:sz w:val="24"/>
    </w:rPr>
  </w:style>
  <w:style w:type="paragraph" w:customStyle="1" w:styleId="42">
    <w:name w:val="报告表正文"/>
    <w:basedOn w:val="1"/>
    <w:qFormat/>
    <w:uiPriority w:val="0"/>
    <w:pPr>
      <w:spacing w:line="360" w:lineRule="auto"/>
      <w:ind w:firstLine="200" w:firstLineChars="200"/>
    </w:pPr>
    <w:rPr>
      <w:rFonts w:eastAsia="楷体_GB2312"/>
      <w:sz w:val="24"/>
      <w:szCs w:val="24"/>
    </w:rPr>
  </w:style>
  <w:style w:type="paragraph" w:customStyle="1" w:styleId="43">
    <w:name w:val="表内格式"/>
    <w:basedOn w:val="1"/>
    <w:qFormat/>
    <w:uiPriority w:val="0"/>
    <w:pPr>
      <w:spacing w:line="240" w:lineRule="exact"/>
      <w:jc w:val="center"/>
    </w:pPr>
    <w:rPr>
      <w:rFonts w:ascii="宋体" w:hAnsi="宋体"/>
      <w:sz w:val="21"/>
    </w:rPr>
  </w:style>
  <w:style w:type="paragraph" w:customStyle="1" w:styleId="44">
    <w:name w:val="0"/>
    <w:basedOn w:val="1"/>
    <w:qFormat/>
    <w:uiPriority w:val="0"/>
    <w:pPr>
      <w:widowControl/>
      <w:snapToGrid w:val="0"/>
      <w:jc w:val="left"/>
    </w:pPr>
    <w:rPr>
      <w:kern w:val="0"/>
      <w:sz w:val="28"/>
      <w:szCs w:val="20"/>
    </w:rPr>
  </w:style>
  <w:style w:type="paragraph" w:customStyle="1" w:styleId="45">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46">
    <w:name w:val="三同时样式"/>
    <w:basedOn w:val="1"/>
    <w:qFormat/>
    <w:uiPriority w:val="0"/>
    <w:pPr>
      <w:spacing w:line="240" w:lineRule="auto"/>
      <w:ind w:firstLine="0" w:firstLineChars="0"/>
      <w:jc w:val="center"/>
    </w:pPr>
    <w:rPr>
      <w:b/>
      <w:sz w:val="18"/>
      <w:szCs w:val="18"/>
    </w:rPr>
  </w:style>
  <w:style w:type="character" w:customStyle="1" w:styleId="47">
    <w:name w:val="标题 1 Char"/>
    <w:link w:val="2"/>
    <w:qFormat/>
    <w:uiPriority w:val="0"/>
    <w:rPr>
      <w:b/>
      <w:kern w:val="44"/>
      <w:sz w:val="28"/>
    </w:rPr>
  </w:style>
  <w:style w:type="paragraph" w:customStyle="1" w:styleId="48">
    <w:name w:val="表格"/>
    <w:basedOn w:val="1"/>
    <w:next w:val="1"/>
    <w:qFormat/>
    <w:uiPriority w:val="0"/>
    <w:pPr>
      <w:keepNext/>
      <w:adjustRightInd w:val="0"/>
      <w:spacing w:line="312" w:lineRule="atLeast"/>
      <w:jc w:val="center"/>
      <w:textAlignment w:val="baseline"/>
    </w:pPr>
    <w:rPr>
      <w:kern w:val="0"/>
    </w:rPr>
  </w:style>
  <w:style w:type="paragraph" w:customStyle="1" w:styleId="49">
    <w:name w:val="样式1"/>
    <w:basedOn w:val="25"/>
    <w:qFormat/>
    <w:uiPriority w:val="0"/>
    <w:pPr>
      <w:pBdr>
        <w:top w:val="none" w:color="auto" w:sz="0" w:space="0"/>
        <w:left w:val="none" w:color="auto" w:sz="0" w:space="0"/>
        <w:bottom w:val="single" w:color="auto" w:sz="4" w:space="1"/>
        <w:right w:val="none" w:color="auto" w:sz="0" w:space="0"/>
      </w:pBdr>
      <w:wordWrap w:val="0"/>
      <w:ind w:right="360"/>
    </w:pPr>
  </w:style>
  <w:style w:type="character" w:customStyle="1" w:styleId="50">
    <w:name w:val="标题 2 Char"/>
    <w:link w:val="3"/>
    <w:qFormat/>
    <w:uiPriority w:val="0"/>
    <w:rPr>
      <w:rFonts w:ascii="Times New Roman" w:hAnsi="Times New Roman" w:eastAsia="宋体"/>
      <w:b/>
      <w:sz w:val="28"/>
    </w:rPr>
  </w:style>
  <w:style w:type="paragraph" w:customStyle="1" w:styleId="51">
    <w:name w:val="正文1"/>
    <w:basedOn w:val="1"/>
    <w:qFormat/>
    <w:uiPriority w:val="0"/>
    <w:pPr>
      <w:ind w:firstLine="552"/>
    </w:pPr>
    <w:rPr>
      <w:rFonts w:ascii="楷体_GB2312" w:eastAsia="楷体_GB2312"/>
      <w:b/>
    </w:rPr>
  </w:style>
  <w:style w:type="paragraph" w:customStyle="1" w:styleId="52">
    <w:name w:val="我的表格文字"/>
    <w:basedOn w:val="1"/>
    <w:qFormat/>
    <w:uiPriority w:val="0"/>
    <w:pPr>
      <w:jc w:val="center"/>
    </w:pPr>
    <w:rPr>
      <w:rFonts w:hAnsi="宋体" w:eastAsia="Times New Roman" w:cs="宋体"/>
      <w:color w:val="000000"/>
      <w:szCs w:val="21"/>
    </w:rPr>
  </w:style>
  <w:style w:type="paragraph" w:customStyle="1" w:styleId="53">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54">
    <w:name w:val="p0"/>
    <w:basedOn w:val="1"/>
    <w:qFormat/>
    <w:uiPriority w:val="0"/>
    <w:pPr>
      <w:widowControl/>
    </w:pPr>
    <w:rPr>
      <w:kern w:val="0"/>
      <w:szCs w:val="24"/>
    </w:rPr>
  </w:style>
  <w:style w:type="paragraph" w:customStyle="1" w:styleId="55">
    <w:name w:val="Center24"/>
    <w:basedOn w:val="1"/>
    <w:next w:val="1"/>
    <w:autoRedefine/>
    <w:qFormat/>
    <w:uiPriority w:val="0"/>
    <w:pPr>
      <w:jc w:val="center"/>
    </w:pPr>
    <w:rPr>
      <w:sz w:val="24"/>
      <w:szCs w:val="24"/>
    </w:rPr>
  </w:style>
  <w:style w:type="paragraph" w:customStyle="1" w:styleId="56">
    <w:name w:val="鸿达表格文字"/>
    <w:basedOn w:val="1"/>
    <w:qFormat/>
    <w:uiPriority w:val="0"/>
    <w:pPr>
      <w:contextualSpacing/>
      <w:jc w:val="center"/>
      <w:textAlignment w:val="baseline"/>
    </w:pPr>
    <w:rPr>
      <w:kern w:val="0"/>
      <w:szCs w:val="21"/>
    </w:rPr>
  </w:style>
  <w:style w:type="paragraph" w:customStyle="1" w:styleId="5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4.xml"/><Relationship Id="rId7" Type="http://schemas.openxmlformats.org/officeDocument/2006/relationships/header" Target="header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jpe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10343</Words>
  <Characters>12371</Characters>
  <Lines>1</Lines>
  <Paragraphs>1</Paragraphs>
  <TotalTime>0</TotalTime>
  <ScaleCrop>false</ScaleCrop>
  <LinksUpToDate>false</LinksUpToDate>
  <CharactersWithSpaces>12545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cp:lastPrinted>2024-11-30T02:46:00Z</cp:lastPrinted>
  <dcterms:modified xsi:type="dcterms:W3CDTF">2025-01-22T02:07:15Z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F0A54AD736954B94BDDB75BC2FDF1D6E_12</vt:lpwstr>
  </property>
  <property fmtid="{D5CDD505-2E9C-101B-9397-08002B2CF9AE}" pid="4" name="KSOTemplateDocerSaveRecord">
    <vt:lpwstr>eyJoZGlkIjoiNTU1ZWIyN2FjZjMwYzQwMGZiMjhiMTBkZTQxOTBkOTIiLCJ1c2VySWQiOiI0MzA5MzAwMDcifQ==</vt:lpwstr>
  </property>
</Properties>
</file>